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5749"/>
      </w:tblGrid>
      <w:tr w:rsidR="004A102D" w:rsidRPr="00946CC5" w14:paraId="254FC429" w14:textId="77777777" w:rsidTr="004B5BC7">
        <w:trPr>
          <w:cantSplit/>
        </w:trPr>
        <w:tc>
          <w:tcPr>
            <w:tcW w:w="5000" w:type="pct"/>
            <w:gridSpan w:val="2"/>
            <w:shd w:val="clear" w:color="auto" w:fill="002147"/>
          </w:tcPr>
          <w:p w14:paraId="4033FBCD" w14:textId="30ACFB20" w:rsidR="004A102D" w:rsidRPr="00946CC5" w:rsidRDefault="00C5492E" w:rsidP="00EB4A99">
            <w:pPr>
              <w:spacing w:before="80" w:after="80"/>
              <w:rPr>
                <w:rFonts w:ascii="Calibri" w:hAnsi="Calibri" w:cs="Calibri"/>
                <w:sz w:val="22"/>
                <w:szCs w:val="22"/>
              </w:rPr>
            </w:pPr>
            <w:bookmarkStart w:id="1" w:name="_GoBack"/>
            <w:bookmarkEnd w:id="1"/>
            <w:r>
              <w:rPr>
                <w:rFonts w:ascii="Calibri" w:hAnsi="Calibri" w:cs="Calibri"/>
                <w:b/>
                <w:bCs/>
                <w:sz w:val="22"/>
                <w:szCs w:val="22"/>
              </w:rPr>
              <w:t>Secondary Data Request for the Translational Data Platform</w:t>
            </w:r>
          </w:p>
        </w:tc>
      </w:tr>
      <w:tr w:rsidR="004A102D" w:rsidRPr="00946CC5" w14:paraId="720669DE" w14:textId="77777777" w:rsidTr="00EF11DC">
        <w:trPr>
          <w:trHeight w:val="470"/>
        </w:trPr>
        <w:tc>
          <w:tcPr>
            <w:tcW w:w="1807" w:type="pct"/>
            <w:shd w:val="clear" w:color="auto" w:fill="D9E2F3" w:themeFill="accent1" w:themeFillTint="33"/>
          </w:tcPr>
          <w:p w14:paraId="002526D3" w14:textId="4E88E03D" w:rsidR="004A102D" w:rsidRPr="00946CC5" w:rsidRDefault="004A102D" w:rsidP="00EB4A99">
            <w:pPr>
              <w:spacing w:before="80" w:after="80"/>
              <w:rPr>
                <w:rFonts w:ascii="Calibri" w:hAnsi="Calibri" w:cs="Calibri"/>
                <w:sz w:val="22"/>
                <w:szCs w:val="22"/>
              </w:rPr>
            </w:pPr>
            <w:r w:rsidRPr="00EF11DC">
              <w:rPr>
                <w:rFonts w:ascii="Calibri" w:hAnsi="Calibri" w:cs="Calibri"/>
                <w:b/>
                <w:szCs w:val="20"/>
              </w:rPr>
              <w:t>Title</w:t>
            </w:r>
          </w:p>
        </w:tc>
        <w:tc>
          <w:tcPr>
            <w:tcW w:w="3193" w:type="pct"/>
            <w:shd w:val="clear" w:color="auto" w:fill="auto"/>
          </w:tcPr>
          <w:p w14:paraId="2C4F1C88" w14:textId="77777777" w:rsidR="004A102D" w:rsidRPr="00946CC5" w:rsidRDefault="004A102D" w:rsidP="00EB4A99">
            <w:pPr>
              <w:spacing w:before="80" w:after="80"/>
              <w:rPr>
                <w:rFonts w:ascii="Calibri" w:hAnsi="Calibri" w:cs="Calibri"/>
                <w:sz w:val="22"/>
                <w:szCs w:val="22"/>
              </w:rPr>
            </w:pPr>
          </w:p>
        </w:tc>
      </w:tr>
      <w:tr w:rsidR="00EF11DC" w:rsidRPr="00946CC5" w14:paraId="174AF127" w14:textId="77777777" w:rsidTr="00EF11DC">
        <w:trPr>
          <w:trHeight w:val="470"/>
        </w:trPr>
        <w:tc>
          <w:tcPr>
            <w:tcW w:w="5000" w:type="pct"/>
            <w:gridSpan w:val="2"/>
            <w:shd w:val="clear" w:color="auto" w:fill="D9E2F3" w:themeFill="accent1" w:themeFillTint="33"/>
          </w:tcPr>
          <w:p w14:paraId="231C7F43" w14:textId="63F62D83" w:rsidR="00EF11DC" w:rsidRPr="00EF11DC" w:rsidRDefault="00EF11DC" w:rsidP="00EF11DC">
            <w:pPr>
              <w:spacing w:before="80" w:after="80"/>
              <w:rPr>
                <w:rFonts w:ascii="Calibri" w:hAnsi="Calibri" w:cs="Calibri"/>
                <w:b/>
                <w:sz w:val="28"/>
                <w:szCs w:val="22"/>
              </w:rPr>
            </w:pPr>
            <w:r w:rsidRPr="00EF11DC">
              <w:rPr>
                <w:rFonts w:ascii="Calibri" w:hAnsi="Calibri" w:cs="Calibri"/>
                <w:b/>
                <w:szCs w:val="20"/>
              </w:rPr>
              <w:t xml:space="preserve">Scientific project summary </w:t>
            </w:r>
            <w:r>
              <w:rPr>
                <w:rFonts w:ascii="Calibri" w:hAnsi="Calibri" w:cs="Calibri"/>
                <w:i/>
                <w:sz w:val="20"/>
                <w:szCs w:val="20"/>
              </w:rPr>
              <w:t>U</w:t>
            </w:r>
            <w:r w:rsidRPr="004A102D">
              <w:rPr>
                <w:rFonts w:ascii="Calibri" w:hAnsi="Calibri" w:cs="Calibri"/>
                <w:i/>
                <w:sz w:val="20"/>
                <w:szCs w:val="20"/>
              </w:rPr>
              <w:t xml:space="preserve">p to </w:t>
            </w:r>
            <w:r>
              <w:rPr>
                <w:rFonts w:ascii="Calibri" w:hAnsi="Calibri" w:cs="Calibri"/>
                <w:i/>
                <w:sz w:val="20"/>
                <w:szCs w:val="20"/>
              </w:rPr>
              <w:t>500</w:t>
            </w:r>
            <w:r w:rsidRPr="004A102D">
              <w:rPr>
                <w:rFonts w:ascii="Calibri" w:hAnsi="Calibri" w:cs="Calibri"/>
                <w:i/>
                <w:sz w:val="20"/>
                <w:szCs w:val="20"/>
              </w:rPr>
              <w:t xml:space="preserve"> words</w:t>
            </w:r>
          </w:p>
        </w:tc>
      </w:tr>
      <w:tr w:rsidR="00EF11DC" w:rsidRPr="00946CC5" w14:paraId="52926AB5" w14:textId="77777777" w:rsidTr="00EF11DC">
        <w:trPr>
          <w:trHeight w:val="470"/>
        </w:trPr>
        <w:tc>
          <w:tcPr>
            <w:tcW w:w="5000" w:type="pct"/>
            <w:gridSpan w:val="2"/>
            <w:shd w:val="clear" w:color="auto" w:fill="auto"/>
          </w:tcPr>
          <w:p w14:paraId="7BD5C278" w14:textId="6E2AD31B" w:rsidR="00EF11DC" w:rsidRPr="00EF11DC" w:rsidRDefault="00EF11DC" w:rsidP="004A102D">
            <w:pPr>
              <w:spacing w:before="75" w:after="150" w:line="276" w:lineRule="auto"/>
              <w:jc w:val="both"/>
              <w:rPr>
                <w:rFonts w:ascii="Calibri" w:eastAsiaTheme="minorHAnsi" w:hAnsi="Calibri" w:cs="Calibri"/>
                <w:i/>
                <w:sz w:val="22"/>
                <w:szCs w:val="22"/>
                <w:lang w:eastAsia="en-US"/>
              </w:rPr>
            </w:pPr>
            <w:r w:rsidRPr="00AD585B">
              <w:rPr>
                <w:rFonts w:ascii="Calibri" w:hAnsi="Calibri" w:cs="Calibri"/>
                <w:bCs/>
                <w:i/>
                <w:sz w:val="22"/>
              </w:rPr>
              <w:t>Background, research objectives and proposed outcomes</w:t>
            </w:r>
            <w:r w:rsidR="00390C74">
              <w:rPr>
                <w:rFonts w:ascii="Calibri" w:hAnsi="Calibri" w:cs="Calibri"/>
                <w:bCs/>
                <w:i/>
                <w:sz w:val="22"/>
              </w:rPr>
              <w:t>.</w:t>
            </w:r>
          </w:p>
        </w:tc>
      </w:tr>
      <w:tr w:rsidR="00EF11DC" w:rsidRPr="00946CC5" w14:paraId="0A97CCC1" w14:textId="77777777" w:rsidTr="00EF11DC">
        <w:trPr>
          <w:trHeight w:val="470"/>
        </w:trPr>
        <w:tc>
          <w:tcPr>
            <w:tcW w:w="5000" w:type="pct"/>
            <w:gridSpan w:val="2"/>
            <w:shd w:val="clear" w:color="auto" w:fill="D9E2F3" w:themeFill="accent1" w:themeFillTint="33"/>
          </w:tcPr>
          <w:p w14:paraId="6FE6F6D2" w14:textId="78C54BD3" w:rsidR="00EF11DC" w:rsidRPr="00907706" w:rsidRDefault="00907706" w:rsidP="004A102D">
            <w:pPr>
              <w:spacing w:before="75" w:after="150" w:line="276" w:lineRule="auto"/>
              <w:jc w:val="both"/>
              <w:rPr>
                <w:rFonts w:ascii="Calibri" w:hAnsi="Calibri" w:cs="Calibri"/>
                <w:bCs/>
                <w:i/>
                <w:sz w:val="22"/>
              </w:rPr>
            </w:pPr>
            <w:r w:rsidRPr="00907706">
              <w:rPr>
                <w:rFonts w:ascii="Calibri" w:hAnsi="Calibri" w:cs="Calibri"/>
                <w:b/>
                <w:szCs w:val="20"/>
              </w:rPr>
              <w:t>Translational potential of the project</w:t>
            </w:r>
            <w:r w:rsidR="00EF11DC" w:rsidRPr="00EF11DC">
              <w:rPr>
                <w:rFonts w:ascii="Calibri" w:hAnsi="Calibri" w:cs="Calibri"/>
                <w:szCs w:val="22"/>
              </w:rPr>
              <w:t xml:space="preserve"> </w:t>
            </w:r>
            <w:r w:rsidR="00EF11DC" w:rsidRPr="00EF11DC">
              <w:rPr>
                <w:rFonts w:ascii="Calibri" w:hAnsi="Calibri" w:cs="Calibri"/>
                <w:sz w:val="18"/>
                <w:szCs w:val="16"/>
              </w:rPr>
              <w:t>Up to 300 words</w:t>
            </w:r>
          </w:p>
        </w:tc>
      </w:tr>
      <w:tr w:rsidR="00EF11DC" w:rsidRPr="00946CC5" w14:paraId="258C828B" w14:textId="77777777" w:rsidTr="00EF11DC">
        <w:trPr>
          <w:trHeight w:val="470"/>
        </w:trPr>
        <w:tc>
          <w:tcPr>
            <w:tcW w:w="5000" w:type="pct"/>
            <w:gridSpan w:val="2"/>
            <w:shd w:val="clear" w:color="auto" w:fill="auto"/>
          </w:tcPr>
          <w:p w14:paraId="3A9C9EFF" w14:textId="7C48D338" w:rsidR="00907706" w:rsidRPr="004B28CA" w:rsidRDefault="00907706" w:rsidP="004A102D">
            <w:pPr>
              <w:spacing w:before="75" w:after="150" w:line="276" w:lineRule="auto"/>
              <w:jc w:val="both"/>
              <w:rPr>
                <w:rFonts w:ascii="Calibri" w:hAnsi="Calibri" w:cs="Calibri"/>
                <w:bCs/>
                <w:sz w:val="22"/>
              </w:rPr>
            </w:pPr>
            <w:r w:rsidRPr="00907706">
              <w:rPr>
                <w:rFonts w:ascii="Calibri" w:hAnsi="Calibri" w:cs="Calibri"/>
                <w:bCs/>
                <w:i/>
                <w:sz w:val="22"/>
              </w:rPr>
              <w:t>How is the use of these data going to help patient care</w:t>
            </w:r>
            <w:r>
              <w:rPr>
                <w:rFonts w:ascii="Calibri" w:hAnsi="Calibri" w:cs="Calibri"/>
                <w:bCs/>
                <w:i/>
                <w:sz w:val="22"/>
              </w:rPr>
              <w:t>?</w:t>
            </w:r>
          </w:p>
        </w:tc>
      </w:tr>
      <w:tr w:rsidR="004B5BC7" w:rsidRPr="00946CC5" w14:paraId="428EDCBD" w14:textId="77777777" w:rsidTr="00EF11DC">
        <w:trPr>
          <w:trHeight w:val="470"/>
        </w:trPr>
        <w:tc>
          <w:tcPr>
            <w:tcW w:w="1807" w:type="pct"/>
            <w:shd w:val="clear" w:color="auto" w:fill="D9E2F3" w:themeFill="accent1" w:themeFillTint="33"/>
          </w:tcPr>
          <w:p w14:paraId="152EF88A" w14:textId="0ADBDBC4" w:rsidR="004B5BC7" w:rsidRPr="004A102D" w:rsidRDefault="004B5BC7" w:rsidP="00EB4A99">
            <w:pPr>
              <w:spacing w:before="80" w:after="80"/>
              <w:rPr>
                <w:rFonts w:ascii="Calibri" w:hAnsi="Calibri" w:cs="Calibri"/>
                <w:b/>
                <w:sz w:val="28"/>
                <w:szCs w:val="22"/>
              </w:rPr>
            </w:pPr>
            <w:r>
              <w:rPr>
                <w:rFonts w:ascii="Calibri" w:hAnsi="Calibri" w:cs="Calibri"/>
                <w:sz w:val="22"/>
                <w:szCs w:val="20"/>
              </w:rPr>
              <w:t>Which trial data cohorts are you interested in?</w:t>
            </w:r>
          </w:p>
        </w:tc>
        <w:tc>
          <w:tcPr>
            <w:tcW w:w="3193" w:type="pct"/>
          </w:tcPr>
          <w:p w14:paraId="46017FC1" w14:textId="6CA39593" w:rsidR="004B5BC7" w:rsidRPr="004B28CA" w:rsidRDefault="004B5BC7" w:rsidP="004A102D">
            <w:pPr>
              <w:spacing w:before="75" w:after="150" w:line="276" w:lineRule="auto"/>
              <w:jc w:val="both"/>
              <w:rPr>
                <w:rFonts w:ascii="Calibri" w:hAnsi="Calibri" w:cs="Calibri"/>
                <w:bCs/>
                <w:sz w:val="22"/>
              </w:rPr>
            </w:pPr>
          </w:p>
        </w:tc>
      </w:tr>
      <w:tr w:rsidR="00E13E40" w:rsidRPr="00946CC5" w14:paraId="2515F7F2" w14:textId="77777777" w:rsidTr="00EF11DC">
        <w:trPr>
          <w:trHeight w:val="630"/>
        </w:trPr>
        <w:tc>
          <w:tcPr>
            <w:tcW w:w="1807" w:type="pct"/>
            <w:shd w:val="clear" w:color="auto" w:fill="D9E2F3" w:themeFill="accent1" w:themeFillTint="33"/>
          </w:tcPr>
          <w:p w14:paraId="5F56CC3F" w14:textId="254D232B" w:rsidR="00E13E40" w:rsidRPr="00AD585B" w:rsidRDefault="00E13E40" w:rsidP="00AD585B">
            <w:pPr>
              <w:spacing w:before="80" w:after="80"/>
              <w:rPr>
                <w:rFonts w:ascii="Calibri" w:hAnsi="Calibri" w:cs="Calibri"/>
                <w:sz w:val="22"/>
                <w:szCs w:val="20"/>
              </w:rPr>
            </w:pPr>
            <w:r>
              <w:rPr>
                <w:rFonts w:ascii="Calibri" w:hAnsi="Calibri" w:cs="Calibri"/>
                <w:sz w:val="22"/>
                <w:szCs w:val="20"/>
              </w:rPr>
              <w:t xml:space="preserve">What data types are you interested in? </w:t>
            </w:r>
          </w:p>
        </w:tc>
        <w:tc>
          <w:tcPr>
            <w:tcW w:w="3193" w:type="pct"/>
          </w:tcPr>
          <w:p w14:paraId="2C54B440" w14:textId="231CAB22" w:rsidR="00E13E40" w:rsidRPr="00AD585B" w:rsidRDefault="00E13E40" w:rsidP="00E13E40">
            <w:pPr>
              <w:rPr>
                <w:rFonts w:ascii="Calibri" w:hAnsi="Calibri" w:cs="Calibri"/>
                <w:sz w:val="20"/>
                <w:szCs w:val="20"/>
              </w:rPr>
            </w:pPr>
          </w:p>
        </w:tc>
      </w:tr>
      <w:tr w:rsidR="00E13E40" w:rsidRPr="00946CC5" w14:paraId="76E0F62A" w14:textId="77777777" w:rsidTr="00EF11DC">
        <w:trPr>
          <w:trHeight w:val="744"/>
        </w:trPr>
        <w:tc>
          <w:tcPr>
            <w:tcW w:w="1807" w:type="pct"/>
            <w:shd w:val="clear" w:color="auto" w:fill="D9E2F3" w:themeFill="accent1" w:themeFillTint="33"/>
          </w:tcPr>
          <w:p w14:paraId="324B7FBC" w14:textId="6B27DD94" w:rsidR="00E13E40" w:rsidRDefault="00E13E40" w:rsidP="00AD585B">
            <w:pPr>
              <w:spacing w:before="80" w:after="80"/>
              <w:rPr>
                <w:rFonts w:ascii="Calibri" w:hAnsi="Calibri" w:cs="Calibri"/>
                <w:sz w:val="22"/>
                <w:szCs w:val="20"/>
              </w:rPr>
            </w:pPr>
            <w:r>
              <w:rPr>
                <w:rFonts w:ascii="Calibri" w:hAnsi="Calibri" w:cs="Calibri"/>
                <w:sz w:val="22"/>
                <w:szCs w:val="20"/>
              </w:rPr>
              <w:t xml:space="preserve">What patient </w:t>
            </w:r>
            <w:r w:rsidR="00390C74">
              <w:rPr>
                <w:rFonts w:ascii="Calibri" w:hAnsi="Calibri" w:cs="Calibri"/>
                <w:sz w:val="22"/>
                <w:szCs w:val="20"/>
              </w:rPr>
              <w:t>clinical information</w:t>
            </w:r>
            <w:r>
              <w:rPr>
                <w:rFonts w:ascii="Calibri" w:hAnsi="Calibri" w:cs="Calibri"/>
                <w:sz w:val="22"/>
                <w:szCs w:val="20"/>
              </w:rPr>
              <w:t xml:space="preserve"> are you interested in?</w:t>
            </w:r>
          </w:p>
        </w:tc>
        <w:tc>
          <w:tcPr>
            <w:tcW w:w="3193" w:type="pct"/>
          </w:tcPr>
          <w:p w14:paraId="0B2072CE" w14:textId="26AA660D" w:rsidR="00E13E40" w:rsidRPr="00D95C6C" w:rsidRDefault="00E13E40" w:rsidP="00084676">
            <w:pPr>
              <w:rPr>
                <w:rFonts w:ascii="Calibri" w:hAnsi="Calibri" w:cs="Calibri"/>
                <w:sz w:val="20"/>
                <w:szCs w:val="20"/>
              </w:rPr>
            </w:pPr>
          </w:p>
        </w:tc>
      </w:tr>
      <w:tr w:rsidR="004940C2" w:rsidRPr="00946CC5" w14:paraId="37ECCC1A" w14:textId="77777777" w:rsidTr="00EF11DC">
        <w:trPr>
          <w:trHeight w:val="428"/>
        </w:trPr>
        <w:tc>
          <w:tcPr>
            <w:tcW w:w="1807" w:type="pct"/>
            <w:shd w:val="clear" w:color="auto" w:fill="D9E2F3" w:themeFill="accent1" w:themeFillTint="33"/>
          </w:tcPr>
          <w:p w14:paraId="02239802" w14:textId="146AE594" w:rsidR="004940C2" w:rsidRDefault="004940C2" w:rsidP="00AD585B">
            <w:pPr>
              <w:spacing w:before="80" w:after="80"/>
              <w:rPr>
                <w:rFonts w:ascii="Calibri" w:hAnsi="Calibri" w:cs="Calibri"/>
                <w:sz w:val="22"/>
                <w:szCs w:val="20"/>
              </w:rPr>
            </w:pPr>
            <w:r>
              <w:rPr>
                <w:rFonts w:ascii="Calibri" w:hAnsi="Calibri" w:cs="Calibri"/>
                <w:sz w:val="22"/>
                <w:szCs w:val="20"/>
              </w:rPr>
              <w:t xml:space="preserve">Do you need </w:t>
            </w:r>
            <w:r w:rsidRPr="004940C2">
              <w:rPr>
                <w:rFonts w:ascii="Calibri" w:hAnsi="Calibri" w:cs="Calibri"/>
                <w:sz w:val="22"/>
                <w:szCs w:val="20"/>
              </w:rPr>
              <w:t>additional data processing beyond what is</w:t>
            </w:r>
            <w:r>
              <w:rPr>
                <w:rFonts w:ascii="Calibri" w:hAnsi="Calibri" w:cs="Calibri"/>
                <w:sz w:val="22"/>
                <w:szCs w:val="20"/>
              </w:rPr>
              <w:t xml:space="preserve"> </w:t>
            </w:r>
            <w:r w:rsidR="00EF11DC">
              <w:rPr>
                <w:rFonts w:ascii="Calibri" w:hAnsi="Calibri" w:cs="Calibri"/>
                <w:sz w:val="22"/>
                <w:szCs w:val="20"/>
              </w:rPr>
              <w:t>in the data catalogue</w:t>
            </w:r>
            <w:r>
              <w:rPr>
                <w:rFonts w:ascii="Calibri" w:hAnsi="Calibri" w:cs="Calibri"/>
                <w:sz w:val="22"/>
                <w:szCs w:val="20"/>
              </w:rPr>
              <w:t xml:space="preserve">? (if yes </w:t>
            </w:r>
            <w:proofErr w:type="gramStart"/>
            <w:r>
              <w:rPr>
                <w:rFonts w:ascii="Calibri" w:hAnsi="Calibri" w:cs="Calibri"/>
                <w:sz w:val="22"/>
                <w:szCs w:val="20"/>
              </w:rPr>
              <w:t xml:space="preserve">please </w:t>
            </w:r>
            <w:r w:rsidR="00EF11DC">
              <w:rPr>
                <w:rFonts w:ascii="Calibri" w:hAnsi="Calibri" w:cs="Calibri"/>
                <w:sz w:val="22"/>
                <w:szCs w:val="20"/>
              </w:rPr>
              <w:t xml:space="preserve"> </w:t>
            </w:r>
            <w:r>
              <w:rPr>
                <w:rFonts w:ascii="Calibri" w:hAnsi="Calibri" w:cs="Calibri"/>
                <w:sz w:val="22"/>
                <w:szCs w:val="20"/>
              </w:rPr>
              <w:t>contact</w:t>
            </w:r>
            <w:proofErr w:type="gramEnd"/>
            <w:r>
              <w:rPr>
                <w:rFonts w:ascii="Calibri" w:hAnsi="Calibri" w:cs="Calibri"/>
                <w:sz w:val="22"/>
                <w:szCs w:val="20"/>
              </w:rPr>
              <w:t xml:space="preserve"> </w:t>
            </w:r>
            <w:hyperlink r:id="rId11" w:history="1">
              <w:r w:rsidRPr="005242D4">
                <w:rPr>
                  <w:rStyle w:val="Hyperlink"/>
                  <w:rFonts w:ascii="Calibri" w:hAnsi="Calibri" w:cs="Calibri"/>
                  <w:sz w:val="22"/>
                  <w:szCs w:val="20"/>
                </w:rPr>
                <w:t>Andrew.blake@oncology.ox.ac.uk</w:t>
              </w:r>
            </w:hyperlink>
            <w:r>
              <w:rPr>
                <w:rFonts w:ascii="Calibri" w:hAnsi="Calibri" w:cs="Calibri"/>
                <w:sz w:val="22"/>
                <w:szCs w:val="20"/>
              </w:rPr>
              <w:t xml:space="preserve"> for details)</w:t>
            </w:r>
          </w:p>
        </w:tc>
        <w:tc>
          <w:tcPr>
            <w:tcW w:w="3193" w:type="pct"/>
          </w:tcPr>
          <w:p w14:paraId="2A8B2A91" w14:textId="77777777" w:rsidR="004940C2" w:rsidRPr="00D95C6C" w:rsidRDefault="004940C2" w:rsidP="00084676">
            <w:pPr>
              <w:rPr>
                <w:rFonts w:ascii="Calibri" w:hAnsi="Calibri" w:cs="Calibri"/>
                <w:sz w:val="20"/>
                <w:szCs w:val="20"/>
              </w:rPr>
            </w:pPr>
          </w:p>
        </w:tc>
      </w:tr>
      <w:tr w:rsidR="00E13E40" w:rsidRPr="00946CC5" w14:paraId="068D7583" w14:textId="77777777" w:rsidTr="00EF11DC">
        <w:trPr>
          <w:trHeight w:val="428"/>
        </w:trPr>
        <w:tc>
          <w:tcPr>
            <w:tcW w:w="1807" w:type="pct"/>
            <w:shd w:val="clear" w:color="auto" w:fill="D9E2F3" w:themeFill="accent1" w:themeFillTint="33"/>
          </w:tcPr>
          <w:p w14:paraId="45F8EA11" w14:textId="176B0115" w:rsidR="00E13E40" w:rsidRDefault="00E13E40" w:rsidP="00AD585B">
            <w:pPr>
              <w:spacing w:before="80" w:after="80"/>
              <w:rPr>
                <w:rFonts w:ascii="Calibri" w:hAnsi="Calibri" w:cs="Calibri"/>
                <w:sz w:val="22"/>
                <w:szCs w:val="20"/>
              </w:rPr>
            </w:pPr>
            <w:r>
              <w:rPr>
                <w:rFonts w:ascii="Calibri" w:hAnsi="Calibri" w:cs="Calibri"/>
                <w:sz w:val="22"/>
                <w:szCs w:val="20"/>
              </w:rPr>
              <w:t xml:space="preserve">Do you need any training on how to access the data on </w:t>
            </w:r>
            <w:proofErr w:type="spellStart"/>
            <w:r>
              <w:rPr>
                <w:rFonts w:ascii="Calibri" w:hAnsi="Calibri" w:cs="Calibri"/>
                <w:sz w:val="22"/>
                <w:szCs w:val="20"/>
              </w:rPr>
              <w:t>cBioportal</w:t>
            </w:r>
            <w:proofErr w:type="spellEnd"/>
            <w:r>
              <w:rPr>
                <w:rFonts w:ascii="Calibri" w:hAnsi="Calibri" w:cs="Calibri"/>
                <w:sz w:val="22"/>
                <w:szCs w:val="20"/>
              </w:rPr>
              <w:t>? (Please specify the level of training)</w:t>
            </w:r>
          </w:p>
        </w:tc>
        <w:tc>
          <w:tcPr>
            <w:tcW w:w="3193" w:type="pct"/>
          </w:tcPr>
          <w:p w14:paraId="7938792C" w14:textId="7B544058" w:rsidR="00E13E40" w:rsidRPr="00D95C6C" w:rsidRDefault="00E13E40" w:rsidP="00084676">
            <w:pPr>
              <w:rPr>
                <w:rFonts w:ascii="Calibri" w:hAnsi="Calibri" w:cs="Calibri"/>
                <w:sz w:val="20"/>
                <w:szCs w:val="20"/>
              </w:rPr>
            </w:pPr>
          </w:p>
        </w:tc>
      </w:tr>
      <w:tr w:rsidR="004B5BC7" w:rsidRPr="00946CC5" w14:paraId="26C0ADC9" w14:textId="77777777" w:rsidTr="00EF11DC">
        <w:tc>
          <w:tcPr>
            <w:tcW w:w="1807" w:type="pct"/>
            <w:shd w:val="clear" w:color="auto" w:fill="D9E2F3" w:themeFill="accent1" w:themeFillTint="33"/>
          </w:tcPr>
          <w:p w14:paraId="56D5D5C1" w14:textId="3F7D5BD7" w:rsidR="004B5BC7" w:rsidRPr="00222A98" w:rsidRDefault="00E13E40" w:rsidP="00EB4A99">
            <w:pPr>
              <w:spacing w:before="80" w:after="80"/>
              <w:rPr>
                <w:rFonts w:ascii="Calibri" w:hAnsi="Calibri" w:cs="Calibri"/>
                <w:sz w:val="22"/>
                <w:szCs w:val="20"/>
              </w:rPr>
            </w:pPr>
            <w:r w:rsidRPr="00222A98">
              <w:rPr>
                <w:rFonts w:ascii="Calibri" w:hAnsi="Calibri" w:cs="Calibri"/>
                <w:sz w:val="22"/>
                <w:szCs w:val="20"/>
              </w:rPr>
              <w:t>Start date of project:</w:t>
            </w:r>
          </w:p>
        </w:tc>
        <w:tc>
          <w:tcPr>
            <w:tcW w:w="3193" w:type="pct"/>
          </w:tcPr>
          <w:p w14:paraId="64763AF5" w14:textId="0E6DD027" w:rsidR="004B5BC7" w:rsidRPr="00F8127C" w:rsidRDefault="004B5BC7" w:rsidP="00EB4A99">
            <w:pPr>
              <w:spacing w:before="80" w:after="80"/>
              <w:rPr>
                <w:rFonts w:ascii="Calibri" w:hAnsi="Calibri" w:cs="Calibri"/>
                <w:sz w:val="20"/>
                <w:szCs w:val="20"/>
              </w:rPr>
            </w:pPr>
          </w:p>
        </w:tc>
      </w:tr>
      <w:tr w:rsidR="004B5BC7" w:rsidRPr="00946CC5" w14:paraId="50B6E76C" w14:textId="77777777" w:rsidTr="00EF11DC">
        <w:tc>
          <w:tcPr>
            <w:tcW w:w="1807" w:type="pct"/>
            <w:shd w:val="clear" w:color="auto" w:fill="D9E2F3" w:themeFill="accent1" w:themeFillTint="33"/>
          </w:tcPr>
          <w:p w14:paraId="48D7B742" w14:textId="6648512A" w:rsidR="004B5BC7" w:rsidRPr="00222A98" w:rsidRDefault="00E13E40" w:rsidP="00EB4A99">
            <w:pPr>
              <w:spacing w:before="80" w:after="80"/>
              <w:rPr>
                <w:rFonts w:ascii="Calibri" w:hAnsi="Calibri" w:cs="Calibri"/>
                <w:sz w:val="22"/>
                <w:szCs w:val="20"/>
              </w:rPr>
            </w:pPr>
            <w:r w:rsidRPr="00222A98">
              <w:rPr>
                <w:rFonts w:ascii="Calibri" w:hAnsi="Calibri" w:cs="Calibri"/>
                <w:sz w:val="22"/>
                <w:szCs w:val="20"/>
              </w:rPr>
              <w:t>End date of project:</w:t>
            </w:r>
          </w:p>
        </w:tc>
        <w:tc>
          <w:tcPr>
            <w:tcW w:w="3193" w:type="pct"/>
          </w:tcPr>
          <w:p w14:paraId="169E4482" w14:textId="25D70FBB" w:rsidR="004B5BC7" w:rsidRPr="00F8127C" w:rsidRDefault="004B5BC7" w:rsidP="00EB4A99">
            <w:pPr>
              <w:spacing w:before="80" w:after="80"/>
              <w:rPr>
                <w:rFonts w:ascii="Calibri" w:hAnsi="Calibri" w:cs="Calibri"/>
                <w:sz w:val="20"/>
                <w:szCs w:val="20"/>
              </w:rPr>
            </w:pPr>
          </w:p>
        </w:tc>
      </w:tr>
      <w:tr w:rsidR="0007549A" w:rsidRPr="00946CC5" w14:paraId="7DBFE472" w14:textId="77777777" w:rsidTr="00EF11DC">
        <w:tc>
          <w:tcPr>
            <w:tcW w:w="1807" w:type="pct"/>
            <w:shd w:val="clear" w:color="auto" w:fill="D9E2F3" w:themeFill="accent1" w:themeFillTint="33"/>
          </w:tcPr>
          <w:p w14:paraId="6CBBB31C" w14:textId="687B822F" w:rsidR="0007549A" w:rsidRPr="00222A98" w:rsidRDefault="0007549A" w:rsidP="00EB4A99">
            <w:pPr>
              <w:spacing w:before="80" w:after="80"/>
              <w:rPr>
                <w:rFonts w:ascii="Calibri" w:hAnsi="Calibri" w:cs="Calibri"/>
                <w:sz w:val="22"/>
                <w:szCs w:val="20"/>
              </w:rPr>
            </w:pPr>
            <w:r>
              <w:rPr>
                <w:rFonts w:ascii="Calibri" w:hAnsi="Calibri" w:cs="Calibri"/>
                <w:sz w:val="22"/>
                <w:szCs w:val="20"/>
              </w:rPr>
              <w:t>Any other comment:</w:t>
            </w:r>
          </w:p>
        </w:tc>
        <w:tc>
          <w:tcPr>
            <w:tcW w:w="3193" w:type="pct"/>
          </w:tcPr>
          <w:p w14:paraId="77D33C5E" w14:textId="2EE2502E" w:rsidR="0007549A" w:rsidRPr="00F8127C" w:rsidRDefault="0007549A" w:rsidP="00EB4A99">
            <w:pPr>
              <w:spacing w:before="80" w:after="80"/>
              <w:rPr>
                <w:rFonts w:ascii="Calibri" w:hAnsi="Calibri" w:cs="Calibri"/>
                <w:sz w:val="20"/>
                <w:szCs w:val="20"/>
              </w:rPr>
            </w:pPr>
          </w:p>
        </w:tc>
      </w:tr>
    </w:tbl>
    <w:p w14:paraId="18EC032A" w14:textId="628D5BD9" w:rsidR="00916634" w:rsidRDefault="00916634" w:rsidP="00AD585B">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3"/>
        <w:gridCol w:w="1608"/>
        <w:gridCol w:w="1877"/>
        <w:gridCol w:w="1879"/>
        <w:gridCol w:w="1879"/>
      </w:tblGrid>
      <w:tr w:rsidR="00084676" w:rsidRPr="00946CC5" w14:paraId="38A72208" w14:textId="77777777" w:rsidTr="00084676">
        <w:trPr>
          <w:cantSplit/>
        </w:trPr>
        <w:tc>
          <w:tcPr>
            <w:tcW w:w="5000" w:type="pct"/>
            <w:gridSpan w:val="5"/>
            <w:shd w:val="clear" w:color="auto" w:fill="002147"/>
          </w:tcPr>
          <w:p w14:paraId="55C64815" w14:textId="7816927B" w:rsidR="00D3585C" w:rsidRPr="00A33693" w:rsidRDefault="00084676" w:rsidP="00A33693">
            <w:pPr>
              <w:spacing w:before="80" w:after="80"/>
              <w:rPr>
                <w:rFonts w:ascii="Calibri" w:hAnsi="Calibri" w:cs="Calibri"/>
                <w:sz w:val="22"/>
                <w:szCs w:val="20"/>
              </w:rPr>
            </w:pPr>
            <w:r>
              <w:rPr>
                <w:rFonts w:ascii="Calibri" w:hAnsi="Calibri" w:cs="Calibri"/>
                <w:sz w:val="22"/>
                <w:szCs w:val="20"/>
              </w:rPr>
              <w:t xml:space="preserve">All applicants must </w:t>
            </w:r>
            <w:r w:rsidR="000E2882">
              <w:rPr>
                <w:rFonts w:ascii="Calibri" w:hAnsi="Calibri" w:cs="Calibri"/>
                <w:sz w:val="22"/>
                <w:szCs w:val="20"/>
              </w:rPr>
              <w:t>only sign after</w:t>
            </w:r>
            <w:r w:rsidR="00A33693">
              <w:rPr>
                <w:rFonts w:ascii="Calibri" w:hAnsi="Calibri" w:cs="Calibri"/>
                <w:sz w:val="22"/>
                <w:szCs w:val="20"/>
              </w:rPr>
              <w:t xml:space="preserve"> they have read understood and agreed with the Translational Data Platform terms of data use</w:t>
            </w:r>
            <w:r w:rsidR="005B493F">
              <w:rPr>
                <w:rFonts w:ascii="Calibri" w:hAnsi="Calibri" w:cs="Calibri"/>
                <w:sz w:val="22"/>
                <w:szCs w:val="20"/>
              </w:rPr>
              <w:t xml:space="preserve"> (below)</w:t>
            </w:r>
          </w:p>
        </w:tc>
      </w:tr>
      <w:tr w:rsidR="00084676" w:rsidRPr="00946CC5" w14:paraId="0970D509" w14:textId="77777777" w:rsidTr="00084676">
        <w:tc>
          <w:tcPr>
            <w:tcW w:w="983" w:type="pct"/>
          </w:tcPr>
          <w:p w14:paraId="7ED16B16" w14:textId="77777777" w:rsidR="00084676" w:rsidRPr="00084676" w:rsidRDefault="00084676" w:rsidP="00EB4A99">
            <w:pPr>
              <w:spacing w:before="80" w:after="80"/>
              <w:rPr>
                <w:rFonts w:ascii="Calibri" w:hAnsi="Calibri" w:cs="Calibri"/>
                <w:b/>
                <w:sz w:val="22"/>
                <w:szCs w:val="22"/>
              </w:rPr>
            </w:pPr>
            <w:r w:rsidRPr="00084676">
              <w:rPr>
                <w:rFonts w:ascii="Calibri" w:hAnsi="Calibri" w:cs="Calibri"/>
                <w:b/>
                <w:sz w:val="22"/>
                <w:szCs w:val="22"/>
              </w:rPr>
              <w:t>Name</w:t>
            </w:r>
          </w:p>
        </w:tc>
        <w:tc>
          <w:tcPr>
            <w:tcW w:w="892" w:type="pct"/>
          </w:tcPr>
          <w:p w14:paraId="4306378F" w14:textId="512356D0" w:rsidR="00084676" w:rsidRPr="00084676" w:rsidRDefault="00084676" w:rsidP="00EB4A99">
            <w:pPr>
              <w:spacing w:before="80" w:after="80"/>
              <w:rPr>
                <w:rFonts w:ascii="Calibri" w:hAnsi="Calibri" w:cs="Calibri"/>
                <w:b/>
                <w:sz w:val="22"/>
                <w:szCs w:val="22"/>
              </w:rPr>
            </w:pPr>
            <w:r w:rsidRPr="00084676">
              <w:rPr>
                <w:rFonts w:ascii="Calibri" w:hAnsi="Calibri" w:cs="Calibri"/>
                <w:b/>
                <w:sz w:val="22"/>
                <w:szCs w:val="22"/>
              </w:rPr>
              <w:t>Department</w:t>
            </w:r>
          </w:p>
        </w:tc>
        <w:tc>
          <w:tcPr>
            <w:tcW w:w="1041" w:type="pct"/>
          </w:tcPr>
          <w:p w14:paraId="608E397F" w14:textId="6124F1BC" w:rsidR="00084676" w:rsidRPr="00084676" w:rsidRDefault="00084676" w:rsidP="00EB4A99">
            <w:pPr>
              <w:tabs>
                <w:tab w:val="left" w:pos="385"/>
                <w:tab w:val="left" w:pos="505"/>
              </w:tabs>
              <w:rPr>
                <w:rFonts w:ascii="Calibri" w:hAnsi="Calibri" w:cs="Calibri"/>
                <w:b/>
                <w:sz w:val="22"/>
                <w:szCs w:val="22"/>
              </w:rPr>
            </w:pPr>
            <w:r w:rsidRPr="00084676">
              <w:rPr>
                <w:rFonts w:ascii="Calibri" w:hAnsi="Calibri" w:cs="Calibri"/>
                <w:b/>
                <w:sz w:val="22"/>
                <w:szCs w:val="22"/>
              </w:rPr>
              <w:t>Contribution to project</w:t>
            </w:r>
          </w:p>
        </w:tc>
        <w:tc>
          <w:tcPr>
            <w:tcW w:w="1042" w:type="pct"/>
            <w:shd w:val="clear" w:color="auto" w:fill="auto"/>
          </w:tcPr>
          <w:p w14:paraId="45719A3C" w14:textId="1AC29B40" w:rsidR="00084676" w:rsidRPr="00084676" w:rsidRDefault="00084676" w:rsidP="00EB4A99">
            <w:pPr>
              <w:tabs>
                <w:tab w:val="left" w:pos="385"/>
                <w:tab w:val="left" w:pos="505"/>
              </w:tabs>
              <w:rPr>
                <w:rFonts w:ascii="Calibri" w:hAnsi="Calibri" w:cs="Calibri"/>
                <w:b/>
                <w:sz w:val="22"/>
                <w:szCs w:val="22"/>
              </w:rPr>
            </w:pPr>
            <w:r w:rsidRPr="00084676">
              <w:rPr>
                <w:rFonts w:ascii="Calibri" w:hAnsi="Calibri" w:cs="Calibri"/>
                <w:b/>
                <w:sz w:val="22"/>
                <w:szCs w:val="22"/>
              </w:rPr>
              <w:t>Date</w:t>
            </w:r>
          </w:p>
        </w:tc>
        <w:tc>
          <w:tcPr>
            <w:tcW w:w="1042" w:type="pct"/>
          </w:tcPr>
          <w:p w14:paraId="4B40A117" w14:textId="7ACA7EDB" w:rsidR="00084676" w:rsidRPr="00084676" w:rsidRDefault="00084676" w:rsidP="00EB4A99">
            <w:pPr>
              <w:tabs>
                <w:tab w:val="left" w:pos="385"/>
                <w:tab w:val="left" w:pos="505"/>
              </w:tabs>
              <w:rPr>
                <w:rFonts w:ascii="Calibri" w:hAnsi="Calibri" w:cs="Calibri"/>
                <w:b/>
                <w:sz w:val="22"/>
                <w:szCs w:val="22"/>
              </w:rPr>
            </w:pPr>
            <w:r w:rsidRPr="00084676">
              <w:rPr>
                <w:rFonts w:ascii="Calibri" w:hAnsi="Calibri" w:cs="Calibri"/>
                <w:b/>
                <w:sz w:val="22"/>
                <w:szCs w:val="22"/>
              </w:rPr>
              <w:t xml:space="preserve">Signature </w:t>
            </w:r>
          </w:p>
        </w:tc>
      </w:tr>
      <w:tr w:rsidR="00084676" w:rsidRPr="00946CC5" w14:paraId="0FA03B84" w14:textId="77777777" w:rsidTr="00084676">
        <w:tc>
          <w:tcPr>
            <w:tcW w:w="983" w:type="pct"/>
          </w:tcPr>
          <w:p w14:paraId="48A98067" w14:textId="05226689" w:rsidR="00084676" w:rsidRPr="00946CC5" w:rsidRDefault="00084676" w:rsidP="00EB4A99">
            <w:pPr>
              <w:spacing w:before="80" w:after="80"/>
              <w:rPr>
                <w:rFonts w:ascii="Calibri" w:hAnsi="Calibri" w:cs="Calibri"/>
                <w:sz w:val="22"/>
                <w:szCs w:val="22"/>
              </w:rPr>
            </w:pPr>
          </w:p>
        </w:tc>
        <w:tc>
          <w:tcPr>
            <w:tcW w:w="892" w:type="pct"/>
          </w:tcPr>
          <w:p w14:paraId="29AFC9DC" w14:textId="6F5AB017" w:rsidR="00084676" w:rsidRPr="00946CC5" w:rsidRDefault="00084676" w:rsidP="00EB4A99">
            <w:pPr>
              <w:spacing w:before="80" w:after="80"/>
              <w:rPr>
                <w:rFonts w:ascii="Calibri" w:hAnsi="Calibri" w:cs="Calibri"/>
                <w:sz w:val="22"/>
                <w:szCs w:val="22"/>
              </w:rPr>
            </w:pPr>
          </w:p>
        </w:tc>
        <w:tc>
          <w:tcPr>
            <w:tcW w:w="1041" w:type="pct"/>
          </w:tcPr>
          <w:p w14:paraId="57DFB99D" w14:textId="031FA071" w:rsidR="00084676" w:rsidRPr="00946CC5" w:rsidRDefault="00084676" w:rsidP="00EB4A99">
            <w:pPr>
              <w:tabs>
                <w:tab w:val="left" w:pos="385"/>
                <w:tab w:val="left" w:pos="505"/>
              </w:tabs>
              <w:rPr>
                <w:rFonts w:ascii="Calibri" w:hAnsi="Calibri" w:cs="Calibri"/>
                <w:sz w:val="22"/>
                <w:szCs w:val="22"/>
              </w:rPr>
            </w:pPr>
          </w:p>
        </w:tc>
        <w:tc>
          <w:tcPr>
            <w:tcW w:w="1042" w:type="pct"/>
            <w:shd w:val="clear" w:color="auto" w:fill="auto"/>
          </w:tcPr>
          <w:p w14:paraId="7B5AFE74" w14:textId="77777777" w:rsidR="00084676" w:rsidRPr="00946CC5" w:rsidRDefault="00084676" w:rsidP="00EB4A99">
            <w:pPr>
              <w:tabs>
                <w:tab w:val="left" w:pos="385"/>
                <w:tab w:val="left" w:pos="505"/>
              </w:tabs>
              <w:rPr>
                <w:rFonts w:ascii="Calibri" w:hAnsi="Calibri" w:cs="Calibri"/>
                <w:sz w:val="22"/>
                <w:szCs w:val="22"/>
              </w:rPr>
            </w:pPr>
          </w:p>
        </w:tc>
        <w:tc>
          <w:tcPr>
            <w:tcW w:w="1042" w:type="pct"/>
            <w:shd w:val="clear" w:color="auto" w:fill="FFF2CC"/>
          </w:tcPr>
          <w:p w14:paraId="3CE09AD2" w14:textId="3236CCC9" w:rsidR="00084676" w:rsidRPr="00946CC5" w:rsidRDefault="00084676" w:rsidP="00EB4A99">
            <w:pPr>
              <w:tabs>
                <w:tab w:val="left" w:pos="385"/>
                <w:tab w:val="left" w:pos="505"/>
              </w:tabs>
              <w:rPr>
                <w:rFonts w:ascii="Calibri" w:hAnsi="Calibri" w:cs="Calibri"/>
                <w:sz w:val="22"/>
                <w:szCs w:val="22"/>
              </w:rPr>
            </w:pPr>
          </w:p>
        </w:tc>
      </w:tr>
      <w:tr w:rsidR="00084676" w:rsidRPr="00946CC5" w14:paraId="30413551" w14:textId="77777777" w:rsidTr="00084676">
        <w:tc>
          <w:tcPr>
            <w:tcW w:w="983" w:type="pct"/>
          </w:tcPr>
          <w:p w14:paraId="1117E689" w14:textId="77777777" w:rsidR="00084676" w:rsidRPr="00946CC5" w:rsidRDefault="00084676" w:rsidP="00EB4A99">
            <w:pPr>
              <w:spacing w:before="80" w:after="80"/>
              <w:rPr>
                <w:rFonts w:ascii="Calibri" w:hAnsi="Calibri" w:cs="Calibri"/>
                <w:sz w:val="22"/>
                <w:szCs w:val="22"/>
              </w:rPr>
            </w:pPr>
          </w:p>
        </w:tc>
        <w:tc>
          <w:tcPr>
            <w:tcW w:w="892" w:type="pct"/>
          </w:tcPr>
          <w:p w14:paraId="5CF3D65B" w14:textId="77777777" w:rsidR="00084676" w:rsidRPr="00946CC5" w:rsidRDefault="00084676" w:rsidP="00EB4A99">
            <w:pPr>
              <w:spacing w:before="80" w:after="80"/>
              <w:rPr>
                <w:rFonts w:ascii="Calibri" w:hAnsi="Calibri" w:cs="Calibri"/>
                <w:sz w:val="22"/>
                <w:szCs w:val="22"/>
              </w:rPr>
            </w:pPr>
          </w:p>
        </w:tc>
        <w:tc>
          <w:tcPr>
            <w:tcW w:w="1041" w:type="pct"/>
          </w:tcPr>
          <w:p w14:paraId="117350EE" w14:textId="77777777" w:rsidR="00084676" w:rsidRPr="00946CC5" w:rsidRDefault="00084676" w:rsidP="00EB4A99">
            <w:pPr>
              <w:tabs>
                <w:tab w:val="left" w:pos="385"/>
                <w:tab w:val="left" w:pos="505"/>
              </w:tabs>
              <w:rPr>
                <w:rFonts w:ascii="Calibri" w:hAnsi="Calibri" w:cs="Calibri"/>
                <w:sz w:val="22"/>
                <w:szCs w:val="22"/>
              </w:rPr>
            </w:pPr>
          </w:p>
        </w:tc>
        <w:tc>
          <w:tcPr>
            <w:tcW w:w="1042" w:type="pct"/>
            <w:shd w:val="clear" w:color="auto" w:fill="auto"/>
          </w:tcPr>
          <w:p w14:paraId="7EA4AC5F" w14:textId="77777777" w:rsidR="00084676" w:rsidRPr="00946CC5" w:rsidRDefault="00084676" w:rsidP="00EB4A99">
            <w:pPr>
              <w:tabs>
                <w:tab w:val="left" w:pos="385"/>
                <w:tab w:val="left" w:pos="505"/>
              </w:tabs>
              <w:rPr>
                <w:rFonts w:ascii="Calibri" w:hAnsi="Calibri" w:cs="Calibri"/>
                <w:sz w:val="22"/>
                <w:szCs w:val="22"/>
              </w:rPr>
            </w:pPr>
          </w:p>
        </w:tc>
        <w:tc>
          <w:tcPr>
            <w:tcW w:w="1042" w:type="pct"/>
            <w:shd w:val="clear" w:color="auto" w:fill="FFF2CC"/>
          </w:tcPr>
          <w:p w14:paraId="0FF47535" w14:textId="6CE09442" w:rsidR="00084676" w:rsidRPr="00946CC5" w:rsidRDefault="00084676" w:rsidP="00EB4A99">
            <w:pPr>
              <w:tabs>
                <w:tab w:val="left" w:pos="385"/>
                <w:tab w:val="left" w:pos="505"/>
              </w:tabs>
              <w:rPr>
                <w:rFonts w:ascii="Calibri" w:hAnsi="Calibri" w:cs="Calibri"/>
                <w:sz w:val="22"/>
                <w:szCs w:val="22"/>
              </w:rPr>
            </w:pPr>
          </w:p>
        </w:tc>
      </w:tr>
      <w:tr w:rsidR="00EF11DC" w:rsidRPr="00946CC5" w14:paraId="5AC5B598" w14:textId="77777777" w:rsidTr="00084676">
        <w:tc>
          <w:tcPr>
            <w:tcW w:w="983" w:type="pct"/>
          </w:tcPr>
          <w:p w14:paraId="44B0B8BA" w14:textId="77777777" w:rsidR="00EF11DC" w:rsidRPr="00946CC5" w:rsidRDefault="00EF11DC" w:rsidP="00EB4A99">
            <w:pPr>
              <w:spacing w:before="80" w:after="80"/>
              <w:rPr>
                <w:rFonts w:ascii="Calibri" w:hAnsi="Calibri" w:cs="Calibri"/>
                <w:sz w:val="22"/>
                <w:szCs w:val="22"/>
              </w:rPr>
            </w:pPr>
          </w:p>
        </w:tc>
        <w:tc>
          <w:tcPr>
            <w:tcW w:w="892" w:type="pct"/>
          </w:tcPr>
          <w:p w14:paraId="4AAB85DF" w14:textId="77777777" w:rsidR="00EF11DC" w:rsidRPr="00946CC5" w:rsidRDefault="00EF11DC" w:rsidP="00EB4A99">
            <w:pPr>
              <w:spacing w:before="80" w:after="80"/>
              <w:rPr>
                <w:rFonts w:ascii="Calibri" w:hAnsi="Calibri" w:cs="Calibri"/>
                <w:sz w:val="22"/>
                <w:szCs w:val="22"/>
              </w:rPr>
            </w:pPr>
          </w:p>
        </w:tc>
        <w:tc>
          <w:tcPr>
            <w:tcW w:w="1041" w:type="pct"/>
          </w:tcPr>
          <w:p w14:paraId="313B8EBC" w14:textId="77777777" w:rsidR="00EF11DC" w:rsidRPr="00946CC5" w:rsidRDefault="00EF11DC" w:rsidP="00EB4A99">
            <w:pPr>
              <w:tabs>
                <w:tab w:val="left" w:pos="385"/>
                <w:tab w:val="left" w:pos="505"/>
              </w:tabs>
              <w:rPr>
                <w:rFonts w:ascii="Calibri" w:hAnsi="Calibri" w:cs="Calibri"/>
                <w:sz w:val="22"/>
                <w:szCs w:val="22"/>
              </w:rPr>
            </w:pPr>
          </w:p>
        </w:tc>
        <w:tc>
          <w:tcPr>
            <w:tcW w:w="1042" w:type="pct"/>
            <w:shd w:val="clear" w:color="auto" w:fill="auto"/>
          </w:tcPr>
          <w:p w14:paraId="54DF8A27" w14:textId="77777777" w:rsidR="00EF11DC" w:rsidRPr="00946CC5" w:rsidRDefault="00EF11DC" w:rsidP="00EB4A99">
            <w:pPr>
              <w:tabs>
                <w:tab w:val="left" w:pos="385"/>
                <w:tab w:val="left" w:pos="505"/>
              </w:tabs>
              <w:rPr>
                <w:rFonts w:ascii="Calibri" w:hAnsi="Calibri" w:cs="Calibri"/>
                <w:sz w:val="22"/>
                <w:szCs w:val="22"/>
              </w:rPr>
            </w:pPr>
          </w:p>
        </w:tc>
        <w:tc>
          <w:tcPr>
            <w:tcW w:w="1042" w:type="pct"/>
            <w:shd w:val="clear" w:color="auto" w:fill="FFF2CC"/>
          </w:tcPr>
          <w:p w14:paraId="1EC3DB6D" w14:textId="77777777" w:rsidR="00EF11DC" w:rsidRPr="00946CC5" w:rsidRDefault="00EF11DC" w:rsidP="00EB4A99">
            <w:pPr>
              <w:tabs>
                <w:tab w:val="left" w:pos="385"/>
                <w:tab w:val="left" w:pos="505"/>
              </w:tabs>
              <w:rPr>
                <w:rFonts w:ascii="Calibri" w:hAnsi="Calibri" w:cs="Calibri"/>
                <w:sz w:val="22"/>
                <w:szCs w:val="22"/>
              </w:rPr>
            </w:pPr>
          </w:p>
        </w:tc>
      </w:tr>
    </w:tbl>
    <w:p w14:paraId="5FEE1348" w14:textId="0B02E0F2" w:rsidR="00084676" w:rsidRDefault="00084676" w:rsidP="0007549A">
      <w:pPr>
        <w:rPr>
          <w:rFonts w:cstheme="minorHAnsi"/>
        </w:rPr>
      </w:pPr>
    </w:p>
    <w:p w14:paraId="087C4D81" w14:textId="23B5FA13" w:rsidR="005B493F" w:rsidRDefault="005B493F" w:rsidP="0007549A">
      <w:pPr>
        <w:rPr>
          <w:rFonts w:cstheme="minorHAnsi"/>
        </w:rPr>
      </w:pPr>
    </w:p>
    <w:p w14:paraId="174764D3" w14:textId="28F3B5CA" w:rsidR="005B493F" w:rsidRDefault="005B493F" w:rsidP="0007549A">
      <w:pPr>
        <w:rPr>
          <w:rFonts w:cstheme="minorHAnsi"/>
        </w:rPr>
      </w:pPr>
    </w:p>
    <w:p w14:paraId="2891D6A2" w14:textId="7DE3CCEE" w:rsidR="005B493F" w:rsidRDefault="005B493F" w:rsidP="0007549A">
      <w:pPr>
        <w:rPr>
          <w:rFonts w:cstheme="minorHAnsi"/>
        </w:rPr>
      </w:pPr>
    </w:p>
    <w:p w14:paraId="2739BCA0" w14:textId="6D060AD5" w:rsidR="005B493F" w:rsidRDefault="005B493F" w:rsidP="0007549A">
      <w:pPr>
        <w:rPr>
          <w:rFonts w:cstheme="minorHAnsi"/>
        </w:rPr>
      </w:pPr>
    </w:p>
    <w:p w14:paraId="1BDA7CE0" w14:textId="27F55BA4" w:rsidR="005B493F" w:rsidRDefault="005B493F" w:rsidP="0007549A">
      <w:pPr>
        <w:rPr>
          <w:rFonts w:cstheme="minorHAnsi"/>
        </w:rPr>
      </w:pPr>
    </w:p>
    <w:p w14:paraId="6E638A4A" w14:textId="1D696BE2" w:rsidR="005B493F" w:rsidRPr="001970B9" w:rsidRDefault="005B493F" w:rsidP="005B493F">
      <w:pPr>
        <w:pStyle w:val="Heading1"/>
        <w:jc w:val="center"/>
        <w:rPr>
          <w:rFonts w:cstheme="majorHAnsi"/>
          <w:sz w:val="40"/>
          <w:szCs w:val="40"/>
        </w:rPr>
      </w:pPr>
      <w:bookmarkStart w:id="2" w:name="_Toc90299703"/>
      <w:r w:rsidRPr="001970B9">
        <w:rPr>
          <w:rFonts w:cstheme="majorHAnsi"/>
          <w:sz w:val="40"/>
          <w:szCs w:val="40"/>
        </w:rPr>
        <w:lastRenderedPageBreak/>
        <w:t>Translational Data Platform: Terms of Data Use</w:t>
      </w:r>
    </w:p>
    <w:p w14:paraId="7BBD3D0E" w14:textId="7FE502EB" w:rsidR="005B493F" w:rsidRPr="001970B9" w:rsidRDefault="005B493F" w:rsidP="005B493F">
      <w:pPr>
        <w:jc w:val="center"/>
        <w:rPr>
          <w:rFonts w:asciiTheme="majorHAnsi" w:hAnsiTheme="majorHAnsi" w:cstheme="majorHAnsi"/>
        </w:rPr>
      </w:pPr>
      <w:r w:rsidRPr="001970B9">
        <w:rPr>
          <w:rFonts w:asciiTheme="majorHAnsi" w:hAnsiTheme="majorHAnsi" w:cstheme="majorHAnsi"/>
        </w:rPr>
        <w:t>June 2024</w:t>
      </w:r>
    </w:p>
    <w:p w14:paraId="3BB0D900" w14:textId="77777777" w:rsidR="001970B9" w:rsidRPr="001970B9" w:rsidRDefault="001970B9" w:rsidP="001970B9">
      <w:pPr>
        <w:pStyle w:val="Heading2"/>
        <w:numPr>
          <w:ilvl w:val="0"/>
          <w:numId w:val="24"/>
        </w:numPr>
        <w:rPr>
          <w:rFonts w:cstheme="majorHAnsi"/>
        </w:rPr>
      </w:pPr>
      <w:bookmarkStart w:id="3" w:name="_Hlk168317477"/>
      <w:bookmarkEnd w:id="2"/>
      <w:r w:rsidRPr="001970B9">
        <w:rPr>
          <w:rFonts w:cstheme="majorHAnsi"/>
        </w:rPr>
        <w:t>Purpose</w:t>
      </w:r>
    </w:p>
    <w:p w14:paraId="0A81AB3F" w14:textId="77777777" w:rsidR="001970B9" w:rsidRPr="001970B9" w:rsidRDefault="001970B9" w:rsidP="001970B9">
      <w:pPr>
        <w:jc w:val="both"/>
        <w:rPr>
          <w:rFonts w:asciiTheme="majorHAnsi" w:hAnsiTheme="majorHAnsi" w:cstheme="majorHAnsi"/>
        </w:rPr>
      </w:pPr>
      <w:r w:rsidRPr="001970B9">
        <w:rPr>
          <w:rFonts w:asciiTheme="majorHAnsi" w:hAnsiTheme="majorHAnsi" w:cstheme="majorHAnsi"/>
        </w:rPr>
        <w:t>This document is a set of guidelines for secondary data use and commercialisation of data managed by Oxford Cancer through the Translational Data Platform (TDP). The purpose of these guidelines is to maximise the impact of patients' data for cancer research whilst protecting the privacy and trust of patients and the interests of all those who have contributed to its creation, analysis and interpretation.</w:t>
      </w:r>
    </w:p>
    <w:p w14:paraId="2B9345FD" w14:textId="77777777" w:rsidR="001970B9" w:rsidRPr="001970B9" w:rsidRDefault="001970B9" w:rsidP="001970B9">
      <w:pPr>
        <w:pStyle w:val="Heading2"/>
        <w:numPr>
          <w:ilvl w:val="0"/>
          <w:numId w:val="24"/>
        </w:numPr>
        <w:rPr>
          <w:rFonts w:cstheme="majorHAnsi"/>
        </w:rPr>
      </w:pPr>
      <w:r w:rsidRPr="001970B9">
        <w:rPr>
          <w:rFonts w:cstheme="majorHAnsi"/>
        </w:rPr>
        <w:t xml:space="preserve">The Translational Data Platform </w:t>
      </w:r>
    </w:p>
    <w:p w14:paraId="4BF0B3EE" w14:textId="77777777" w:rsidR="001970B9" w:rsidRPr="001970B9" w:rsidRDefault="001970B9" w:rsidP="001970B9">
      <w:pPr>
        <w:jc w:val="both"/>
        <w:rPr>
          <w:rFonts w:asciiTheme="majorHAnsi" w:hAnsiTheme="majorHAnsi" w:cstheme="majorHAnsi"/>
        </w:rPr>
      </w:pPr>
      <w:r w:rsidRPr="001970B9">
        <w:rPr>
          <w:rFonts w:asciiTheme="majorHAnsi" w:hAnsiTheme="majorHAnsi" w:cstheme="majorHAnsi"/>
        </w:rPr>
        <w:t xml:space="preserve">The Translational Data Platform (TDP), developed by </w:t>
      </w:r>
      <w:hyperlink r:id="rId12" w:history="1">
        <w:r w:rsidRPr="001970B9">
          <w:rPr>
            <w:rFonts w:asciiTheme="majorHAnsi" w:hAnsiTheme="majorHAnsi" w:cstheme="majorHAnsi"/>
          </w:rPr>
          <w:t>Andrew Blake</w:t>
        </w:r>
      </w:hyperlink>
      <w:r w:rsidRPr="001970B9">
        <w:rPr>
          <w:rFonts w:asciiTheme="majorHAnsi" w:hAnsiTheme="majorHAnsi" w:cstheme="majorHAnsi"/>
        </w:rPr>
        <w:t xml:space="preserve">, enables Oxford researchers to capitalise on patient clinical data, imaging and molecular data generated from samples collected during clinical studies. The TDP is part of the </w:t>
      </w:r>
      <w:hyperlink r:id="rId13" w:history="1">
        <w:r w:rsidRPr="001970B9">
          <w:rPr>
            <w:rFonts w:asciiTheme="majorHAnsi" w:hAnsiTheme="majorHAnsi" w:cstheme="majorHAnsi"/>
          </w:rPr>
          <w:t>Oxford ECMC</w:t>
        </w:r>
      </w:hyperlink>
      <w:r w:rsidRPr="001970B9">
        <w:rPr>
          <w:rFonts w:asciiTheme="majorHAnsi" w:hAnsiTheme="majorHAnsi" w:cstheme="majorHAnsi"/>
        </w:rPr>
        <w:t xml:space="preserve"> and is key to its mission to integrate research science with early-phase clinical trials.</w:t>
      </w:r>
    </w:p>
    <w:p w14:paraId="6C339410" w14:textId="77777777" w:rsidR="001970B9" w:rsidRPr="001970B9" w:rsidRDefault="001970B9" w:rsidP="001970B9">
      <w:pPr>
        <w:jc w:val="both"/>
        <w:rPr>
          <w:rFonts w:asciiTheme="majorHAnsi" w:hAnsiTheme="majorHAnsi" w:cstheme="majorHAnsi"/>
        </w:rPr>
      </w:pPr>
      <w:r w:rsidRPr="001970B9">
        <w:rPr>
          <w:rFonts w:asciiTheme="majorHAnsi" w:hAnsiTheme="majorHAnsi" w:cstheme="majorHAnsi"/>
        </w:rPr>
        <w:t>Data from clinical trials and observational studies includes single cell and bulk RNASeq expression data, NGS mutations, SNPs, copy number, methylation, proteomics, IHC scores and images, H&amp;E images, MRI and other scans, clinical data, and outputs of machine learning image analysis algorithm models. The TDP combines these into a single, secure, user-friendly, multi-</w:t>
      </w:r>
      <w:proofErr w:type="spellStart"/>
      <w:r w:rsidRPr="001970B9">
        <w:rPr>
          <w:rFonts w:asciiTheme="majorHAnsi" w:hAnsiTheme="majorHAnsi" w:cstheme="majorHAnsi"/>
        </w:rPr>
        <w:t>omic</w:t>
      </w:r>
      <w:proofErr w:type="spellEnd"/>
      <w:r w:rsidRPr="001970B9">
        <w:rPr>
          <w:rFonts w:asciiTheme="majorHAnsi" w:hAnsiTheme="majorHAnsi" w:cstheme="majorHAnsi"/>
        </w:rPr>
        <w:t xml:space="preserve"> data platform: </w:t>
      </w:r>
      <w:hyperlink r:id="rId14" w:history="1">
        <w:proofErr w:type="spellStart"/>
        <w:r w:rsidRPr="001970B9">
          <w:rPr>
            <w:rFonts w:asciiTheme="majorHAnsi" w:hAnsiTheme="majorHAnsi" w:cstheme="majorHAnsi"/>
          </w:rPr>
          <w:t>cBioportal</w:t>
        </w:r>
        <w:proofErr w:type="spellEnd"/>
      </w:hyperlink>
      <w:r w:rsidRPr="001970B9">
        <w:rPr>
          <w:rFonts w:asciiTheme="majorHAnsi" w:hAnsiTheme="majorHAnsi" w:cstheme="majorHAnsi"/>
        </w:rPr>
        <w:t xml:space="preserve"> for specific studies. Patient-identifiable information is removed by our team to create a central point for rigorous analysis and interpretation.</w:t>
      </w:r>
    </w:p>
    <w:p w14:paraId="11C42B84" w14:textId="77777777" w:rsidR="001970B9" w:rsidRPr="001970B9" w:rsidRDefault="001970B9" w:rsidP="001970B9">
      <w:pPr>
        <w:pStyle w:val="Heading3"/>
        <w:rPr>
          <w:rFonts w:cstheme="majorHAnsi"/>
        </w:rPr>
      </w:pPr>
      <w:r w:rsidRPr="001970B9">
        <w:rPr>
          <w:rFonts w:cstheme="majorHAnsi"/>
        </w:rPr>
        <w:t>2.1 The Translational Data Platform Ethos</w:t>
      </w:r>
    </w:p>
    <w:p w14:paraId="2DC62A9D" w14:textId="77777777" w:rsidR="001970B9" w:rsidRPr="001970B9" w:rsidRDefault="001970B9" w:rsidP="001970B9">
      <w:pPr>
        <w:jc w:val="both"/>
        <w:rPr>
          <w:rFonts w:asciiTheme="majorHAnsi" w:hAnsiTheme="majorHAnsi" w:cstheme="majorHAnsi"/>
        </w:rPr>
      </w:pPr>
      <w:r w:rsidRPr="001970B9">
        <w:rPr>
          <w:rFonts w:asciiTheme="majorHAnsi" w:hAnsiTheme="majorHAnsi" w:cstheme="majorHAnsi"/>
        </w:rPr>
        <w:t>The TDP exist to allow Oxford researchers to freely access this data and its mission is to integrate research science with early-phase clinical trials and help cancer researchers and clinicians conduct hypothesis-generating discovery research with the potential to translate into improvements in patient care.</w:t>
      </w:r>
    </w:p>
    <w:p w14:paraId="265DA3B3" w14:textId="77777777" w:rsidR="001970B9" w:rsidRPr="001970B9" w:rsidRDefault="001970B9" w:rsidP="001970B9">
      <w:pPr>
        <w:pStyle w:val="Heading2"/>
        <w:numPr>
          <w:ilvl w:val="0"/>
          <w:numId w:val="24"/>
        </w:numPr>
        <w:rPr>
          <w:rFonts w:cstheme="majorHAnsi"/>
        </w:rPr>
      </w:pPr>
      <w:r w:rsidRPr="001970B9">
        <w:rPr>
          <w:rFonts w:cstheme="majorHAnsi"/>
        </w:rPr>
        <w:t>Scope</w:t>
      </w:r>
    </w:p>
    <w:p w14:paraId="715DDB9F" w14:textId="77777777" w:rsidR="001970B9" w:rsidRPr="001970B9" w:rsidRDefault="001970B9" w:rsidP="001970B9">
      <w:pPr>
        <w:rPr>
          <w:rFonts w:asciiTheme="majorHAnsi" w:hAnsiTheme="majorHAnsi" w:cstheme="majorHAnsi"/>
        </w:rPr>
      </w:pPr>
      <w:r w:rsidRPr="001970B9">
        <w:rPr>
          <w:rFonts w:asciiTheme="majorHAnsi" w:hAnsiTheme="majorHAnsi" w:cstheme="majorHAnsi"/>
        </w:rPr>
        <w:t>This policy covers researchers wishing to access the TDP database according to the following criteria:</w:t>
      </w:r>
    </w:p>
    <w:p w14:paraId="38BF5B8C" w14:textId="77777777" w:rsidR="001970B9" w:rsidRPr="001970B9" w:rsidRDefault="001970B9" w:rsidP="001970B9">
      <w:pPr>
        <w:pStyle w:val="ListParagraph"/>
        <w:numPr>
          <w:ilvl w:val="0"/>
          <w:numId w:val="21"/>
        </w:numPr>
        <w:jc w:val="left"/>
        <w:rPr>
          <w:rFonts w:asciiTheme="majorHAnsi" w:hAnsiTheme="majorHAnsi" w:cstheme="majorHAnsi"/>
        </w:rPr>
      </w:pPr>
      <w:r w:rsidRPr="001970B9">
        <w:rPr>
          <w:rFonts w:asciiTheme="majorHAnsi" w:hAnsiTheme="majorHAnsi" w:cstheme="majorHAnsi"/>
        </w:rPr>
        <w:t>Employees of Oxford University</w:t>
      </w:r>
    </w:p>
    <w:p w14:paraId="2027DC35" w14:textId="77777777" w:rsidR="001970B9" w:rsidRPr="001970B9" w:rsidRDefault="001970B9" w:rsidP="001970B9">
      <w:pPr>
        <w:pStyle w:val="ListParagraph"/>
        <w:numPr>
          <w:ilvl w:val="0"/>
          <w:numId w:val="21"/>
        </w:numPr>
        <w:jc w:val="left"/>
        <w:rPr>
          <w:rFonts w:asciiTheme="majorHAnsi" w:hAnsiTheme="majorHAnsi" w:cstheme="majorHAnsi"/>
        </w:rPr>
      </w:pPr>
      <w:r w:rsidRPr="001970B9">
        <w:rPr>
          <w:rFonts w:asciiTheme="majorHAnsi" w:hAnsiTheme="majorHAnsi" w:cstheme="majorHAnsi"/>
        </w:rPr>
        <w:t>Employees of any other academic or governmental institution</w:t>
      </w:r>
    </w:p>
    <w:p w14:paraId="3437A8A2" w14:textId="77777777" w:rsidR="001970B9" w:rsidRPr="001970B9" w:rsidRDefault="001970B9" w:rsidP="001970B9">
      <w:pPr>
        <w:pStyle w:val="ListParagraph"/>
        <w:numPr>
          <w:ilvl w:val="0"/>
          <w:numId w:val="21"/>
        </w:numPr>
        <w:jc w:val="left"/>
        <w:rPr>
          <w:rFonts w:asciiTheme="majorHAnsi" w:hAnsiTheme="majorHAnsi" w:cstheme="majorHAnsi"/>
        </w:rPr>
      </w:pPr>
      <w:r w:rsidRPr="001970B9">
        <w:rPr>
          <w:rFonts w:asciiTheme="majorHAnsi" w:hAnsiTheme="majorHAnsi" w:cstheme="majorHAnsi"/>
        </w:rPr>
        <w:t>Employees of a commercial or industry-based research organisation.</w:t>
      </w:r>
    </w:p>
    <w:p w14:paraId="564D1E59" w14:textId="77777777" w:rsidR="001970B9" w:rsidRPr="001970B9" w:rsidRDefault="001970B9" w:rsidP="001970B9">
      <w:pPr>
        <w:pStyle w:val="ListParagraph"/>
        <w:numPr>
          <w:ilvl w:val="0"/>
          <w:numId w:val="21"/>
        </w:numPr>
        <w:jc w:val="left"/>
        <w:rPr>
          <w:rFonts w:asciiTheme="majorHAnsi" w:hAnsiTheme="majorHAnsi" w:cstheme="majorHAnsi"/>
        </w:rPr>
      </w:pPr>
      <w:r w:rsidRPr="001970B9">
        <w:rPr>
          <w:rFonts w:asciiTheme="majorHAnsi" w:hAnsiTheme="majorHAnsi" w:cstheme="majorHAnsi"/>
        </w:rPr>
        <w:t>Commercial members of academic consortia.</w:t>
      </w:r>
    </w:p>
    <w:p w14:paraId="679231D1" w14:textId="77777777" w:rsidR="001970B9" w:rsidRPr="001970B9" w:rsidRDefault="001970B9" w:rsidP="001970B9">
      <w:pPr>
        <w:pStyle w:val="Heading2"/>
        <w:numPr>
          <w:ilvl w:val="0"/>
          <w:numId w:val="24"/>
        </w:numPr>
        <w:rPr>
          <w:rFonts w:cstheme="majorHAnsi"/>
        </w:rPr>
      </w:pPr>
      <w:bookmarkStart w:id="4" w:name="_Toc90299705"/>
      <w:r w:rsidRPr="001970B9">
        <w:rPr>
          <w:rFonts w:cstheme="majorHAnsi"/>
        </w:rPr>
        <w:t>Process for Providing Access</w:t>
      </w:r>
      <w:bookmarkEnd w:id="4"/>
    </w:p>
    <w:p w14:paraId="6E8E17EF" w14:textId="77777777" w:rsidR="001970B9" w:rsidRPr="001970B9" w:rsidRDefault="001970B9" w:rsidP="001970B9">
      <w:pPr>
        <w:rPr>
          <w:rFonts w:asciiTheme="majorHAnsi" w:hAnsiTheme="majorHAnsi" w:cstheme="majorHAnsi"/>
        </w:rPr>
      </w:pPr>
      <w:r w:rsidRPr="001970B9">
        <w:rPr>
          <w:rFonts w:asciiTheme="majorHAnsi" w:hAnsiTheme="majorHAnsi" w:cstheme="majorHAnsi"/>
        </w:rPr>
        <w:t>This process will ensure that data access is provided consistently and in line with TDP ethos and individual trial requirements:</w:t>
      </w:r>
    </w:p>
    <w:p w14:paraId="5C391313" w14:textId="77777777" w:rsidR="001970B9" w:rsidRPr="001970B9" w:rsidRDefault="001970B9" w:rsidP="001970B9">
      <w:pPr>
        <w:pStyle w:val="ListParagraph"/>
        <w:numPr>
          <w:ilvl w:val="0"/>
          <w:numId w:val="22"/>
        </w:numPr>
        <w:ind w:left="360"/>
        <w:jc w:val="left"/>
        <w:rPr>
          <w:rFonts w:asciiTheme="majorHAnsi" w:hAnsiTheme="majorHAnsi" w:cstheme="majorHAnsi"/>
        </w:rPr>
      </w:pPr>
      <w:r w:rsidRPr="001970B9">
        <w:rPr>
          <w:rFonts w:asciiTheme="majorHAnsi" w:hAnsiTheme="majorHAnsi" w:cstheme="majorHAnsi"/>
        </w:rPr>
        <w:t>Applicants must complete the TDP Data Access Request Form.</w:t>
      </w:r>
    </w:p>
    <w:p w14:paraId="149DA56F" w14:textId="77777777" w:rsidR="001970B9" w:rsidRPr="001970B9" w:rsidRDefault="001970B9" w:rsidP="001970B9">
      <w:pPr>
        <w:pStyle w:val="ListParagraph"/>
        <w:numPr>
          <w:ilvl w:val="0"/>
          <w:numId w:val="22"/>
        </w:numPr>
        <w:ind w:left="360"/>
        <w:jc w:val="left"/>
        <w:rPr>
          <w:rFonts w:asciiTheme="majorHAnsi" w:hAnsiTheme="majorHAnsi" w:cstheme="majorHAnsi"/>
        </w:rPr>
      </w:pPr>
      <w:r w:rsidRPr="001970B9">
        <w:rPr>
          <w:rFonts w:asciiTheme="majorHAnsi" w:hAnsiTheme="majorHAnsi" w:cstheme="majorHAnsi"/>
        </w:rPr>
        <w:t>Submission will be reviewed by the TDP Data Access.</w:t>
      </w:r>
    </w:p>
    <w:p w14:paraId="7EE04B84" w14:textId="77777777" w:rsidR="001970B9" w:rsidRPr="001970B9" w:rsidRDefault="001970B9" w:rsidP="001970B9">
      <w:pPr>
        <w:pStyle w:val="ListParagraph"/>
        <w:numPr>
          <w:ilvl w:val="0"/>
          <w:numId w:val="22"/>
        </w:numPr>
        <w:ind w:left="360"/>
        <w:jc w:val="left"/>
        <w:rPr>
          <w:rFonts w:asciiTheme="majorHAnsi" w:hAnsiTheme="majorHAnsi" w:cstheme="majorHAnsi"/>
        </w:rPr>
      </w:pPr>
      <w:r w:rsidRPr="001970B9">
        <w:rPr>
          <w:rFonts w:asciiTheme="majorHAnsi" w:hAnsiTheme="majorHAnsi" w:cstheme="majorHAnsi"/>
        </w:rPr>
        <w:t>To be considered the request must show evidence of:</w:t>
      </w:r>
    </w:p>
    <w:p w14:paraId="7DBE0FFE" w14:textId="77777777" w:rsidR="001970B9" w:rsidRPr="001970B9" w:rsidRDefault="001970B9" w:rsidP="001970B9">
      <w:pPr>
        <w:pStyle w:val="ListParagraph"/>
        <w:numPr>
          <w:ilvl w:val="1"/>
          <w:numId w:val="22"/>
        </w:numPr>
        <w:ind w:left="1080"/>
        <w:jc w:val="left"/>
        <w:rPr>
          <w:rFonts w:asciiTheme="majorHAnsi" w:hAnsiTheme="majorHAnsi" w:cstheme="majorHAnsi"/>
        </w:rPr>
      </w:pPr>
      <w:r w:rsidRPr="001970B9">
        <w:rPr>
          <w:rFonts w:asciiTheme="majorHAnsi" w:hAnsiTheme="majorHAnsi" w:cstheme="majorHAnsi"/>
        </w:rPr>
        <w:t>Possible patient benefit or benefit to the Cancer research community;</w:t>
      </w:r>
    </w:p>
    <w:p w14:paraId="7F788C04" w14:textId="77777777" w:rsidR="001970B9" w:rsidRPr="001970B9" w:rsidRDefault="001970B9" w:rsidP="001970B9">
      <w:pPr>
        <w:pStyle w:val="ListParagraph"/>
        <w:numPr>
          <w:ilvl w:val="1"/>
          <w:numId w:val="22"/>
        </w:numPr>
        <w:ind w:left="1080"/>
        <w:jc w:val="left"/>
        <w:rPr>
          <w:rFonts w:asciiTheme="majorHAnsi" w:hAnsiTheme="majorHAnsi" w:cstheme="majorHAnsi"/>
        </w:rPr>
      </w:pPr>
      <w:r w:rsidRPr="001970B9">
        <w:rPr>
          <w:rFonts w:asciiTheme="majorHAnsi" w:hAnsiTheme="majorHAnsi" w:cstheme="majorHAnsi"/>
        </w:rPr>
        <w:t>Suitability of the dataset to address the scientific questions;</w:t>
      </w:r>
    </w:p>
    <w:p w14:paraId="4EA06253" w14:textId="77777777" w:rsidR="001970B9" w:rsidRPr="001970B9" w:rsidRDefault="001970B9" w:rsidP="001970B9">
      <w:pPr>
        <w:pStyle w:val="ListParagraph"/>
        <w:numPr>
          <w:ilvl w:val="1"/>
          <w:numId w:val="22"/>
        </w:numPr>
        <w:ind w:left="1080"/>
        <w:jc w:val="left"/>
        <w:rPr>
          <w:rFonts w:asciiTheme="majorHAnsi" w:hAnsiTheme="majorHAnsi" w:cstheme="majorHAnsi"/>
        </w:rPr>
      </w:pPr>
      <w:r w:rsidRPr="001970B9">
        <w:rPr>
          <w:rFonts w:asciiTheme="majorHAnsi" w:hAnsiTheme="majorHAnsi" w:cstheme="majorHAnsi"/>
        </w:rPr>
        <w:t>Conformity to the TDP ethos</w:t>
      </w:r>
    </w:p>
    <w:p w14:paraId="79E8E124" w14:textId="77777777" w:rsidR="001970B9" w:rsidRPr="001970B9" w:rsidRDefault="001970B9" w:rsidP="001970B9">
      <w:pPr>
        <w:pStyle w:val="ListParagraph"/>
        <w:numPr>
          <w:ilvl w:val="0"/>
          <w:numId w:val="22"/>
        </w:numPr>
        <w:ind w:left="360"/>
        <w:jc w:val="left"/>
        <w:rPr>
          <w:rFonts w:asciiTheme="majorHAnsi" w:hAnsiTheme="majorHAnsi" w:cstheme="majorHAnsi"/>
        </w:rPr>
      </w:pPr>
      <w:r w:rsidRPr="001970B9">
        <w:rPr>
          <w:rFonts w:asciiTheme="majorHAnsi" w:hAnsiTheme="majorHAnsi" w:cstheme="majorHAnsi"/>
        </w:rPr>
        <w:t>If deemed successful the request will be forwarded to the specific study’s Data Access Committee (e.g. a trial specific management group).</w:t>
      </w:r>
    </w:p>
    <w:p w14:paraId="76121DDB" w14:textId="77777777" w:rsidR="001970B9" w:rsidRPr="001970B9" w:rsidRDefault="001970B9" w:rsidP="001970B9">
      <w:pPr>
        <w:jc w:val="both"/>
        <w:rPr>
          <w:rFonts w:asciiTheme="majorHAnsi" w:hAnsiTheme="majorHAnsi" w:cstheme="majorHAnsi"/>
        </w:rPr>
      </w:pPr>
      <w:r w:rsidRPr="001970B9">
        <w:rPr>
          <w:rFonts w:asciiTheme="majorHAnsi" w:hAnsiTheme="majorHAnsi" w:cstheme="majorHAnsi"/>
          <w:i/>
          <w:iCs/>
        </w:rPr>
        <w:t>The TDP does not guarantee that requests deemed successful by the TDP Data Access Committee will grant access to the data.</w:t>
      </w:r>
      <w:r w:rsidRPr="001970B9">
        <w:rPr>
          <w:rFonts w:asciiTheme="majorHAnsi" w:hAnsiTheme="majorHAnsi" w:cstheme="majorHAnsi"/>
        </w:rPr>
        <w:t xml:space="preserve"> The TDP will make every effort to make sure that the data stored are shared with the scientific community to maximise patient benefit.</w:t>
      </w:r>
    </w:p>
    <w:p w14:paraId="30105D76" w14:textId="77777777" w:rsidR="001970B9" w:rsidRPr="001970B9" w:rsidRDefault="001970B9" w:rsidP="001970B9">
      <w:pPr>
        <w:pStyle w:val="Heading2"/>
        <w:numPr>
          <w:ilvl w:val="0"/>
          <w:numId w:val="22"/>
        </w:numPr>
        <w:rPr>
          <w:rFonts w:cstheme="majorHAnsi"/>
        </w:rPr>
      </w:pPr>
      <w:r w:rsidRPr="001970B9">
        <w:rPr>
          <w:rFonts w:cstheme="majorHAnsi"/>
        </w:rPr>
        <w:t>Data Access Policy</w:t>
      </w:r>
    </w:p>
    <w:p w14:paraId="7EDE37ED" w14:textId="77777777" w:rsidR="001970B9" w:rsidRPr="001970B9" w:rsidRDefault="001970B9" w:rsidP="001970B9">
      <w:pPr>
        <w:jc w:val="both"/>
        <w:rPr>
          <w:rFonts w:asciiTheme="majorHAnsi" w:hAnsiTheme="majorHAnsi" w:cstheme="majorHAnsi"/>
        </w:rPr>
      </w:pPr>
      <w:r w:rsidRPr="001970B9">
        <w:rPr>
          <w:rFonts w:asciiTheme="majorHAnsi" w:hAnsiTheme="majorHAnsi" w:cstheme="majorHAnsi"/>
          <w:noProof/>
        </w:rPr>
        <w:t xml:space="preserve">In order to support and widen the ongoing access to the TDP database, we have asked all our contributors to make the data submitted </w:t>
      </w:r>
      <w:r w:rsidRPr="001970B9">
        <w:rPr>
          <w:rFonts w:asciiTheme="majorHAnsi" w:hAnsiTheme="majorHAnsi" w:cstheme="majorHAnsi"/>
        </w:rPr>
        <w:t>available to use by other researchers withing the University to answer scientific and clinical questions that could have positive impacts on patient care, including discovery research.</w:t>
      </w:r>
      <w:r w:rsidRPr="001970B9">
        <w:rPr>
          <w:rFonts w:asciiTheme="majorHAnsi" w:hAnsiTheme="majorHAnsi" w:cstheme="majorHAnsi"/>
          <w:noProof/>
        </w:rPr>
        <w:t xml:space="preserve"> As stewards of the data, the TDP Data Access Committee recognise that the legal and ethical gold standard to allow commercial use of the data is individual patient consent although it will be the responsibility of any </w:t>
      </w:r>
      <w:r w:rsidRPr="001970B9">
        <w:rPr>
          <w:rFonts w:asciiTheme="majorHAnsi" w:hAnsiTheme="majorHAnsi" w:cstheme="majorHAnsi"/>
        </w:rPr>
        <w:t>specific study’s Data Access Committee to define the suitability of commercial use of the data.</w:t>
      </w:r>
    </w:p>
    <w:p w14:paraId="2E148AEA" w14:textId="77777777" w:rsidR="001970B9" w:rsidRPr="001970B9" w:rsidRDefault="001970B9" w:rsidP="001970B9">
      <w:pPr>
        <w:jc w:val="both"/>
        <w:rPr>
          <w:rFonts w:asciiTheme="majorHAnsi" w:hAnsiTheme="majorHAnsi" w:cstheme="majorHAnsi"/>
        </w:rPr>
      </w:pPr>
      <w:r w:rsidRPr="001970B9">
        <w:rPr>
          <w:rFonts w:asciiTheme="majorHAnsi" w:hAnsiTheme="majorHAnsi" w:cstheme="majorHAnsi"/>
        </w:rPr>
        <w:t>Data can be made available for commercial access if:</w:t>
      </w:r>
    </w:p>
    <w:p w14:paraId="65220ABF" w14:textId="77777777" w:rsidR="001970B9" w:rsidRPr="001970B9" w:rsidRDefault="001970B9" w:rsidP="001970B9">
      <w:pPr>
        <w:pStyle w:val="ListParagraph"/>
        <w:numPr>
          <w:ilvl w:val="0"/>
          <w:numId w:val="23"/>
        </w:numPr>
        <w:autoSpaceDE w:val="0"/>
        <w:autoSpaceDN w:val="0"/>
        <w:adjustRightInd w:val="0"/>
        <w:spacing w:line="256" w:lineRule="auto"/>
        <w:rPr>
          <w:rFonts w:asciiTheme="majorHAnsi" w:hAnsiTheme="majorHAnsi" w:cstheme="majorHAnsi"/>
          <w:noProof/>
        </w:rPr>
      </w:pPr>
      <w:r w:rsidRPr="001970B9">
        <w:rPr>
          <w:rFonts w:asciiTheme="majorHAnsi" w:hAnsiTheme="majorHAnsi" w:cstheme="majorHAnsi"/>
          <w:noProof/>
        </w:rPr>
        <w:t>The data is anonymised;</w:t>
      </w:r>
    </w:p>
    <w:p w14:paraId="6603361F" w14:textId="77777777" w:rsidR="001970B9" w:rsidRPr="001970B9" w:rsidRDefault="001970B9" w:rsidP="001970B9">
      <w:pPr>
        <w:pStyle w:val="ListParagraph"/>
        <w:numPr>
          <w:ilvl w:val="0"/>
          <w:numId w:val="23"/>
        </w:numPr>
        <w:autoSpaceDE w:val="0"/>
        <w:autoSpaceDN w:val="0"/>
        <w:adjustRightInd w:val="0"/>
        <w:spacing w:line="256" w:lineRule="auto"/>
        <w:rPr>
          <w:rFonts w:asciiTheme="majorHAnsi" w:hAnsiTheme="majorHAnsi" w:cstheme="majorHAnsi"/>
          <w:noProof/>
        </w:rPr>
      </w:pPr>
      <w:r w:rsidRPr="001970B9">
        <w:rPr>
          <w:rFonts w:asciiTheme="majorHAnsi" w:hAnsiTheme="majorHAnsi" w:cstheme="majorHAnsi"/>
          <w:noProof/>
        </w:rPr>
        <w:t xml:space="preserve">There is real potential to benefit future patients </w:t>
      </w:r>
    </w:p>
    <w:p w14:paraId="24404351" w14:textId="77777777" w:rsidR="001970B9" w:rsidRPr="001970B9" w:rsidRDefault="001970B9" w:rsidP="001970B9">
      <w:pPr>
        <w:pStyle w:val="ListParagraph"/>
        <w:numPr>
          <w:ilvl w:val="0"/>
          <w:numId w:val="23"/>
        </w:numPr>
        <w:autoSpaceDE w:val="0"/>
        <w:autoSpaceDN w:val="0"/>
        <w:adjustRightInd w:val="0"/>
        <w:spacing w:line="256" w:lineRule="auto"/>
        <w:rPr>
          <w:rFonts w:asciiTheme="majorHAnsi" w:hAnsiTheme="majorHAnsi" w:cstheme="majorHAnsi"/>
          <w:noProof/>
        </w:rPr>
      </w:pPr>
      <w:r w:rsidRPr="001970B9">
        <w:rPr>
          <w:rFonts w:asciiTheme="majorHAnsi" w:hAnsiTheme="majorHAnsi" w:cstheme="majorHAnsi"/>
          <w:noProof/>
        </w:rPr>
        <w:t>The patients have consented or seeking additional informed consent might cause harm/distress or when the participants might have died.</w:t>
      </w:r>
      <w:bookmarkStart w:id="5" w:name="_Toc90299708"/>
    </w:p>
    <w:bookmarkEnd w:id="5"/>
    <w:p w14:paraId="50633E29" w14:textId="77777777" w:rsidR="001970B9" w:rsidRPr="001970B9" w:rsidRDefault="001970B9" w:rsidP="001970B9">
      <w:pPr>
        <w:pStyle w:val="Heading2"/>
        <w:numPr>
          <w:ilvl w:val="0"/>
          <w:numId w:val="22"/>
        </w:numPr>
        <w:rPr>
          <w:rFonts w:cstheme="majorHAnsi"/>
        </w:rPr>
      </w:pPr>
      <w:r w:rsidRPr="001970B9">
        <w:rPr>
          <w:rFonts w:cstheme="majorHAnsi"/>
        </w:rPr>
        <w:t>Confidentiality</w:t>
      </w:r>
    </w:p>
    <w:p w14:paraId="0A548C88" w14:textId="77777777" w:rsidR="001970B9" w:rsidRPr="001970B9" w:rsidRDefault="001970B9" w:rsidP="001970B9">
      <w:pPr>
        <w:spacing w:before="120" w:after="120"/>
        <w:rPr>
          <w:rFonts w:asciiTheme="majorHAnsi" w:hAnsiTheme="majorHAnsi" w:cstheme="majorHAnsi"/>
        </w:rPr>
      </w:pPr>
      <w:r w:rsidRPr="001970B9">
        <w:rPr>
          <w:rFonts w:asciiTheme="majorHAnsi" w:hAnsiTheme="majorHAnsi" w:cstheme="majorHAnsi"/>
        </w:rPr>
        <w:t>Any organisation in receipt of data should make a clear commitment to keep the data secure and confidential and not to attempt reidentification. This commitment will be recorded within any data release agreement.</w:t>
      </w:r>
    </w:p>
    <w:p w14:paraId="689FE484" w14:textId="77777777" w:rsidR="001970B9" w:rsidRPr="001970B9" w:rsidRDefault="001970B9" w:rsidP="001970B9">
      <w:pPr>
        <w:pStyle w:val="Heading2"/>
        <w:numPr>
          <w:ilvl w:val="0"/>
          <w:numId w:val="22"/>
        </w:numPr>
        <w:rPr>
          <w:rFonts w:cstheme="majorHAnsi"/>
        </w:rPr>
      </w:pPr>
      <w:r w:rsidRPr="001970B9">
        <w:rPr>
          <w:rFonts w:cstheme="majorHAnsi"/>
        </w:rPr>
        <w:t>Governance</w:t>
      </w:r>
    </w:p>
    <w:p w14:paraId="590E951C" w14:textId="77777777" w:rsidR="001970B9" w:rsidRPr="001970B9" w:rsidRDefault="001970B9" w:rsidP="001970B9">
      <w:pPr>
        <w:pStyle w:val="ListParagraph"/>
        <w:numPr>
          <w:ilvl w:val="0"/>
          <w:numId w:val="25"/>
        </w:numPr>
        <w:spacing w:before="120" w:after="120"/>
        <w:rPr>
          <w:rFonts w:asciiTheme="majorHAnsi" w:hAnsiTheme="majorHAnsi" w:cstheme="majorHAnsi"/>
        </w:rPr>
      </w:pPr>
      <w:r w:rsidRPr="001970B9">
        <w:rPr>
          <w:rFonts w:asciiTheme="majorHAnsi" w:hAnsiTheme="majorHAnsi" w:cstheme="majorHAnsi"/>
        </w:rPr>
        <w:t xml:space="preserve">The TDP Data Access Committee </w:t>
      </w:r>
      <w:r w:rsidRPr="001970B9">
        <w:rPr>
          <w:rFonts w:asciiTheme="majorHAnsi" w:hAnsiTheme="majorHAnsi" w:cstheme="majorHAnsi"/>
          <w:noProof/>
        </w:rPr>
        <w:t>consists of individuals representing the different stakeholders: the TDP, Oxford Cancer and the Oxford ECMC, and</w:t>
      </w:r>
      <w:r w:rsidRPr="001970B9">
        <w:rPr>
          <w:rFonts w:asciiTheme="majorHAnsi" w:hAnsiTheme="majorHAnsi" w:cstheme="majorHAnsi"/>
        </w:rPr>
        <w:t xml:space="preserve"> oversees all applications. </w:t>
      </w:r>
    </w:p>
    <w:p w14:paraId="1F7B485D" w14:textId="77777777" w:rsidR="001970B9" w:rsidRPr="001970B9" w:rsidRDefault="001970B9" w:rsidP="001970B9">
      <w:pPr>
        <w:pStyle w:val="ListParagraph"/>
        <w:numPr>
          <w:ilvl w:val="0"/>
          <w:numId w:val="25"/>
        </w:numPr>
        <w:spacing w:before="120" w:after="120"/>
        <w:rPr>
          <w:rFonts w:asciiTheme="majorHAnsi" w:hAnsiTheme="majorHAnsi" w:cstheme="majorHAnsi"/>
        </w:rPr>
      </w:pPr>
      <w:r w:rsidRPr="001970B9">
        <w:rPr>
          <w:rFonts w:asciiTheme="majorHAnsi" w:hAnsiTheme="majorHAnsi" w:cstheme="majorHAnsi"/>
        </w:rPr>
        <w:t>The Data Access committee will aim to reach a consensus on each decision leading to an outcome of either approval or rejection.</w:t>
      </w:r>
    </w:p>
    <w:p w14:paraId="5793CE8E" w14:textId="77777777" w:rsidR="001970B9" w:rsidRPr="001970B9" w:rsidRDefault="001970B9" w:rsidP="001970B9">
      <w:pPr>
        <w:pStyle w:val="ListParagraph"/>
        <w:numPr>
          <w:ilvl w:val="0"/>
          <w:numId w:val="25"/>
        </w:numPr>
        <w:spacing w:before="120" w:after="120"/>
        <w:rPr>
          <w:rFonts w:asciiTheme="majorHAnsi" w:hAnsiTheme="majorHAnsi" w:cstheme="majorHAnsi"/>
        </w:rPr>
      </w:pPr>
      <w:r w:rsidRPr="001970B9">
        <w:rPr>
          <w:rFonts w:asciiTheme="majorHAnsi" w:hAnsiTheme="majorHAnsi" w:cstheme="majorHAnsi"/>
        </w:rPr>
        <w:t>If the committee cannot reach a consensus, then it will provide written feedback to the applicant and ask them to resubmit their data access request with further information.</w:t>
      </w:r>
    </w:p>
    <w:p w14:paraId="5C681552" w14:textId="77777777" w:rsidR="001970B9" w:rsidRPr="001970B9" w:rsidRDefault="001970B9" w:rsidP="001970B9">
      <w:pPr>
        <w:pStyle w:val="ListParagraph"/>
        <w:numPr>
          <w:ilvl w:val="0"/>
          <w:numId w:val="25"/>
        </w:numPr>
        <w:spacing w:before="120" w:after="120"/>
        <w:rPr>
          <w:rFonts w:asciiTheme="majorHAnsi" w:hAnsiTheme="majorHAnsi" w:cstheme="majorHAnsi"/>
        </w:rPr>
      </w:pPr>
      <w:r w:rsidRPr="001970B9">
        <w:rPr>
          <w:rFonts w:asciiTheme="majorHAnsi" w:hAnsiTheme="majorHAnsi" w:cstheme="majorHAnsi"/>
        </w:rPr>
        <w:t>Any conflicts of interest with a specific application by any member of the committee will be declared. If the conflict is deemed to be significant the member shall be excluded from the discussion of that application.</w:t>
      </w:r>
    </w:p>
    <w:p w14:paraId="2006CEAC" w14:textId="77777777" w:rsidR="001970B9" w:rsidRPr="001970B9" w:rsidRDefault="001970B9" w:rsidP="001970B9">
      <w:pPr>
        <w:pStyle w:val="ListParagraph"/>
        <w:spacing w:before="120" w:after="120"/>
        <w:rPr>
          <w:rFonts w:asciiTheme="majorHAnsi" w:hAnsiTheme="majorHAnsi" w:cstheme="majorHAnsi"/>
        </w:rPr>
      </w:pPr>
    </w:p>
    <w:p w14:paraId="403354D5" w14:textId="77777777" w:rsidR="001970B9" w:rsidRPr="001970B9" w:rsidRDefault="001970B9" w:rsidP="001970B9">
      <w:pPr>
        <w:pStyle w:val="Heading2"/>
        <w:numPr>
          <w:ilvl w:val="0"/>
          <w:numId w:val="22"/>
        </w:numPr>
        <w:spacing w:before="120" w:after="120"/>
        <w:rPr>
          <w:rFonts w:cstheme="majorHAnsi"/>
        </w:rPr>
      </w:pPr>
      <w:bookmarkStart w:id="6" w:name="_Toc90299712"/>
      <w:r w:rsidRPr="001970B9">
        <w:rPr>
          <w:rFonts w:cstheme="majorHAnsi"/>
        </w:rPr>
        <w:t>I</w:t>
      </w:r>
      <w:bookmarkEnd w:id="6"/>
      <w:r w:rsidRPr="001970B9">
        <w:rPr>
          <w:rFonts w:cstheme="majorHAnsi"/>
        </w:rPr>
        <w:t>ntellectual Property</w:t>
      </w:r>
    </w:p>
    <w:p w14:paraId="0C4A39A3" w14:textId="77777777" w:rsidR="001970B9" w:rsidRPr="001970B9" w:rsidRDefault="001970B9" w:rsidP="001970B9">
      <w:pPr>
        <w:pStyle w:val="ListParagraph"/>
        <w:numPr>
          <w:ilvl w:val="0"/>
          <w:numId w:val="28"/>
        </w:numPr>
        <w:spacing w:before="120" w:after="120"/>
        <w:rPr>
          <w:rFonts w:asciiTheme="majorHAnsi" w:hAnsiTheme="majorHAnsi" w:cstheme="majorHAnsi"/>
        </w:rPr>
      </w:pPr>
      <w:r w:rsidRPr="001970B9">
        <w:rPr>
          <w:rFonts w:asciiTheme="majorHAnsi" w:hAnsiTheme="majorHAnsi" w:cstheme="majorHAnsi"/>
        </w:rPr>
        <w:t>The ownership of the data will remain with the authors of the specific study.</w:t>
      </w:r>
    </w:p>
    <w:p w14:paraId="1691D5EB" w14:textId="77777777" w:rsidR="001970B9" w:rsidRPr="001970B9" w:rsidRDefault="001970B9" w:rsidP="001970B9">
      <w:pPr>
        <w:pStyle w:val="ListParagraph"/>
        <w:numPr>
          <w:ilvl w:val="0"/>
          <w:numId w:val="28"/>
        </w:numPr>
        <w:spacing w:before="120" w:after="120"/>
        <w:rPr>
          <w:rFonts w:asciiTheme="majorHAnsi" w:hAnsiTheme="majorHAnsi" w:cstheme="majorHAnsi"/>
        </w:rPr>
      </w:pPr>
      <w:r w:rsidRPr="001970B9">
        <w:rPr>
          <w:rFonts w:asciiTheme="majorHAnsi" w:hAnsiTheme="majorHAnsi" w:cstheme="majorHAnsi"/>
        </w:rPr>
        <w:t xml:space="preserve">Any partner will use reasonable endeavours to progress any arising IP generated from the use of the data and keep the TDP, Oxford Cancer and the authors of the specific study reasonably informed of this development. </w:t>
      </w:r>
    </w:p>
    <w:p w14:paraId="73C85895" w14:textId="77777777" w:rsidR="001970B9" w:rsidRPr="001970B9" w:rsidRDefault="001970B9" w:rsidP="001970B9">
      <w:pPr>
        <w:pStyle w:val="ListParagraph"/>
        <w:numPr>
          <w:ilvl w:val="0"/>
          <w:numId w:val="28"/>
        </w:numPr>
        <w:spacing w:before="120" w:after="120"/>
        <w:rPr>
          <w:rFonts w:asciiTheme="majorHAnsi" w:hAnsiTheme="majorHAnsi" w:cstheme="majorHAnsi"/>
        </w:rPr>
      </w:pPr>
      <w:r w:rsidRPr="001970B9">
        <w:rPr>
          <w:rFonts w:asciiTheme="majorHAnsi" w:hAnsiTheme="majorHAnsi" w:cstheme="majorHAnsi"/>
        </w:rPr>
        <w:t>Secondary users will provide the TDP, Oxford Cancer and the authors of the specific study with appropriate academic research rights.</w:t>
      </w:r>
    </w:p>
    <w:p w14:paraId="67FB3F84" w14:textId="77777777" w:rsidR="001970B9" w:rsidRPr="001970B9" w:rsidRDefault="001970B9" w:rsidP="001970B9">
      <w:pPr>
        <w:pStyle w:val="Heading2"/>
        <w:numPr>
          <w:ilvl w:val="0"/>
          <w:numId w:val="22"/>
        </w:numPr>
        <w:spacing w:before="120" w:after="120"/>
        <w:rPr>
          <w:rFonts w:cstheme="majorHAnsi"/>
        </w:rPr>
      </w:pPr>
      <w:r w:rsidRPr="001970B9">
        <w:rPr>
          <w:rFonts w:cstheme="majorHAnsi"/>
        </w:rPr>
        <w:t>Data Use and Management</w:t>
      </w:r>
    </w:p>
    <w:p w14:paraId="2CC0A0AB" w14:textId="77777777" w:rsidR="001970B9" w:rsidRPr="001970B9" w:rsidRDefault="001970B9" w:rsidP="001970B9">
      <w:pPr>
        <w:jc w:val="both"/>
        <w:rPr>
          <w:rFonts w:asciiTheme="majorHAnsi" w:hAnsiTheme="majorHAnsi" w:cstheme="majorHAnsi"/>
        </w:rPr>
      </w:pPr>
      <w:r w:rsidRPr="001970B9">
        <w:rPr>
          <w:rFonts w:asciiTheme="majorHAnsi" w:hAnsiTheme="majorHAnsi" w:cstheme="majorHAnsi"/>
        </w:rPr>
        <w:t>If the use of the data is granted by the TDP Data Access Committee and the specific study Data Access Committee:</w:t>
      </w:r>
    </w:p>
    <w:p w14:paraId="74E0814E" w14:textId="77777777" w:rsidR="001970B9" w:rsidRPr="001970B9" w:rsidRDefault="001970B9" w:rsidP="001970B9">
      <w:pPr>
        <w:pStyle w:val="ListParagraph"/>
        <w:numPr>
          <w:ilvl w:val="0"/>
          <w:numId w:val="26"/>
        </w:numPr>
        <w:rPr>
          <w:rFonts w:asciiTheme="majorHAnsi" w:hAnsiTheme="majorHAnsi" w:cstheme="majorHAnsi"/>
        </w:rPr>
      </w:pPr>
      <w:r w:rsidRPr="001970B9">
        <w:rPr>
          <w:rFonts w:asciiTheme="majorHAnsi" w:hAnsiTheme="majorHAnsi" w:cstheme="majorHAnsi"/>
        </w:rPr>
        <w:t>Applicants will be granted access to data for a particular research project only. Any further use of the data is subject to further approval by the access committee</w:t>
      </w:r>
    </w:p>
    <w:p w14:paraId="63CD8E96" w14:textId="77777777" w:rsidR="001970B9" w:rsidRPr="001970B9" w:rsidRDefault="001970B9" w:rsidP="001970B9">
      <w:pPr>
        <w:pStyle w:val="ListParagraph"/>
        <w:numPr>
          <w:ilvl w:val="0"/>
          <w:numId w:val="26"/>
        </w:numPr>
        <w:rPr>
          <w:rFonts w:asciiTheme="majorHAnsi" w:hAnsiTheme="majorHAnsi" w:cstheme="majorHAnsi"/>
        </w:rPr>
      </w:pPr>
      <w:r w:rsidRPr="001970B9">
        <w:rPr>
          <w:rFonts w:asciiTheme="majorHAnsi" w:hAnsiTheme="majorHAnsi" w:cstheme="majorHAnsi"/>
        </w:rPr>
        <w:t>The TDP will ensure that data is shared through a secure medium and once transferred, successful applicants will ensure that the data is kept in a secure environment and protected from damage, and loss and will limit access to the data to employees who are required for the performance of the project as described.</w:t>
      </w:r>
      <w:r w:rsidRPr="001970B9" w:rsidDel="00AF636F">
        <w:rPr>
          <w:rFonts w:asciiTheme="majorHAnsi" w:hAnsiTheme="majorHAnsi" w:cstheme="majorHAnsi"/>
        </w:rPr>
        <w:t xml:space="preserve"> </w:t>
      </w:r>
    </w:p>
    <w:p w14:paraId="5FE3F711" w14:textId="77777777" w:rsidR="001970B9" w:rsidRPr="001970B9" w:rsidRDefault="001970B9" w:rsidP="001970B9">
      <w:pPr>
        <w:pStyle w:val="ListParagraph"/>
        <w:numPr>
          <w:ilvl w:val="0"/>
          <w:numId w:val="26"/>
        </w:numPr>
        <w:rPr>
          <w:rFonts w:asciiTheme="majorHAnsi" w:hAnsiTheme="majorHAnsi" w:cstheme="majorHAnsi"/>
        </w:rPr>
      </w:pPr>
      <w:r w:rsidRPr="001970B9">
        <w:rPr>
          <w:rFonts w:asciiTheme="majorHAnsi" w:hAnsiTheme="majorHAnsi" w:cstheme="majorHAnsi"/>
        </w:rPr>
        <w:t>Successful applicants will take all steps required to maintain the security of the data and, in the case of a breach of security inform the TDP and the authors of the specific study immediately and take all steps to remedy such breach.</w:t>
      </w:r>
    </w:p>
    <w:p w14:paraId="478A3A91" w14:textId="77777777" w:rsidR="001970B9" w:rsidRPr="001970B9" w:rsidRDefault="001970B9" w:rsidP="001970B9">
      <w:pPr>
        <w:pStyle w:val="ListParagraph"/>
        <w:numPr>
          <w:ilvl w:val="0"/>
          <w:numId w:val="26"/>
        </w:numPr>
        <w:rPr>
          <w:rFonts w:asciiTheme="majorHAnsi" w:hAnsiTheme="majorHAnsi" w:cstheme="majorHAnsi"/>
        </w:rPr>
      </w:pPr>
      <w:r w:rsidRPr="001970B9">
        <w:rPr>
          <w:rFonts w:asciiTheme="majorHAnsi" w:hAnsiTheme="majorHAnsi" w:cstheme="majorHAnsi"/>
        </w:rPr>
        <w:t>Successful applicants will keep the TDP access management group informed of any outputs from the work e.g., publications, conference posters/presentations, websites, public release statements, licensing of agents etc.</w:t>
      </w:r>
    </w:p>
    <w:p w14:paraId="1CF59C07" w14:textId="77777777" w:rsidR="001970B9" w:rsidRPr="001970B9" w:rsidRDefault="001970B9" w:rsidP="001970B9">
      <w:pPr>
        <w:pStyle w:val="ListParagraph"/>
        <w:numPr>
          <w:ilvl w:val="0"/>
          <w:numId w:val="26"/>
        </w:numPr>
        <w:rPr>
          <w:rFonts w:asciiTheme="majorHAnsi" w:hAnsiTheme="majorHAnsi" w:cstheme="majorHAnsi"/>
        </w:rPr>
      </w:pPr>
      <w:r w:rsidRPr="001970B9">
        <w:rPr>
          <w:rFonts w:asciiTheme="majorHAnsi" w:hAnsiTheme="majorHAnsi" w:cstheme="majorHAnsi"/>
        </w:rPr>
        <w:t xml:space="preserve">In all cases, successful applicants will comply with GDPR and any local data/ethics regulations of relevance. </w:t>
      </w:r>
    </w:p>
    <w:p w14:paraId="156F79BC" w14:textId="77777777" w:rsidR="001970B9" w:rsidRPr="001970B9" w:rsidRDefault="001970B9" w:rsidP="001970B9">
      <w:pPr>
        <w:pStyle w:val="ListParagraph"/>
        <w:numPr>
          <w:ilvl w:val="0"/>
          <w:numId w:val="26"/>
        </w:numPr>
        <w:rPr>
          <w:rFonts w:asciiTheme="majorHAnsi" w:hAnsiTheme="majorHAnsi" w:cstheme="majorHAnsi"/>
        </w:rPr>
      </w:pPr>
      <w:r w:rsidRPr="001970B9">
        <w:rPr>
          <w:rFonts w:asciiTheme="majorHAnsi" w:hAnsiTheme="majorHAnsi" w:cstheme="majorHAnsi"/>
        </w:rPr>
        <w:t xml:space="preserve">Successful applicants will not sub-license or share the underlying data with a third party unless specifically named as part of the access application. </w:t>
      </w:r>
    </w:p>
    <w:p w14:paraId="709DD5D2" w14:textId="77777777" w:rsidR="001970B9" w:rsidRPr="001970B9" w:rsidRDefault="001970B9" w:rsidP="001970B9">
      <w:pPr>
        <w:pStyle w:val="Heading2"/>
        <w:numPr>
          <w:ilvl w:val="0"/>
          <w:numId w:val="22"/>
        </w:numPr>
        <w:rPr>
          <w:rFonts w:cstheme="majorHAnsi"/>
        </w:rPr>
      </w:pPr>
      <w:r w:rsidRPr="001970B9">
        <w:rPr>
          <w:rFonts w:cstheme="majorHAnsi"/>
        </w:rPr>
        <w:t>Publications and Research rights</w:t>
      </w:r>
    </w:p>
    <w:p w14:paraId="7220BFCA" w14:textId="77777777" w:rsidR="001970B9" w:rsidRPr="001970B9" w:rsidRDefault="001970B9" w:rsidP="001970B9">
      <w:pPr>
        <w:pStyle w:val="ListParagraph"/>
        <w:numPr>
          <w:ilvl w:val="0"/>
          <w:numId w:val="27"/>
        </w:numPr>
        <w:spacing w:before="120" w:after="120"/>
        <w:rPr>
          <w:rFonts w:asciiTheme="majorHAnsi" w:hAnsiTheme="majorHAnsi" w:cstheme="majorHAnsi"/>
        </w:rPr>
      </w:pPr>
      <w:r w:rsidRPr="001970B9">
        <w:rPr>
          <w:rFonts w:asciiTheme="majorHAnsi" w:hAnsiTheme="majorHAnsi" w:cstheme="majorHAnsi"/>
        </w:rPr>
        <w:t>The academic leads of the original study and their collaborators shall retain the rights to continue to use existing data.</w:t>
      </w:r>
    </w:p>
    <w:p w14:paraId="6D6A94CD" w14:textId="77777777" w:rsidR="001970B9" w:rsidRPr="001970B9" w:rsidRDefault="001970B9" w:rsidP="001970B9">
      <w:pPr>
        <w:pStyle w:val="ListParagraph"/>
        <w:spacing w:before="120" w:after="120"/>
        <w:rPr>
          <w:rFonts w:asciiTheme="majorHAnsi" w:hAnsiTheme="majorHAnsi" w:cstheme="majorHAnsi"/>
        </w:rPr>
      </w:pPr>
    </w:p>
    <w:p w14:paraId="2CDB7662" w14:textId="77777777" w:rsidR="001970B9" w:rsidRPr="001970B9" w:rsidRDefault="001970B9" w:rsidP="001970B9">
      <w:pPr>
        <w:pStyle w:val="ListParagraph"/>
        <w:numPr>
          <w:ilvl w:val="0"/>
          <w:numId w:val="27"/>
        </w:numPr>
        <w:spacing w:before="120" w:after="120"/>
        <w:rPr>
          <w:rFonts w:asciiTheme="majorHAnsi" w:hAnsiTheme="majorHAnsi" w:cstheme="majorHAnsi"/>
        </w:rPr>
      </w:pPr>
      <w:r w:rsidRPr="001970B9">
        <w:rPr>
          <w:rFonts w:asciiTheme="majorHAnsi" w:hAnsiTheme="majorHAnsi" w:cstheme="majorHAnsi"/>
        </w:rPr>
        <w:t>Publication of any outputs of the use of data should correctly recognise the contribution of the TDP and the originating researchers, including using their logos in presentations and acknowledgement when possible.</w:t>
      </w:r>
    </w:p>
    <w:p w14:paraId="7A595574" w14:textId="77777777" w:rsidR="001970B9" w:rsidRPr="001970B9" w:rsidRDefault="001970B9" w:rsidP="001970B9">
      <w:pPr>
        <w:pStyle w:val="ListParagraph"/>
        <w:spacing w:before="120" w:after="120"/>
        <w:rPr>
          <w:rFonts w:asciiTheme="majorHAnsi" w:hAnsiTheme="majorHAnsi" w:cstheme="majorHAnsi"/>
        </w:rPr>
      </w:pPr>
      <w:r w:rsidRPr="001970B9">
        <w:rPr>
          <w:rFonts w:asciiTheme="majorHAnsi" w:hAnsiTheme="majorHAnsi" w:cstheme="majorHAnsi"/>
        </w:rPr>
        <w:t>Suggested wording is summarised below but researchers seeking to publish should contact the TDP for specific authors and wording at the time of publication:</w:t>
      </w:r>
    </w:p>
    <w:p w14:paraId="50304AC3" w14:textId="77777777" w:rsidR="001970B9" w:rsidRPr="001970B9" w:rsidRDefault="001970B9" w:rsidP="001970B9">
      <w:pPr>
        <w:pStyle w:val="ListParagraph"/>
        <w:spacing w:before="120" w:after="120"/>
        <w:rPr>
          <w:rFonts w:asciiTheme="majorHAnsi" w:hAnsiTheme="majorHAnsi" w:cstheme="majorHAnsi"/>
        </w:rPr>
      </w:pPr>
    </w:p>
    <w:p w14:paraId="67B0EBFC" w14:textId="77777777" w:rsidR="001970B9" w:rsidRPr="001970B9" w:rsidRDefault="001970B9" w:rsidP="001970B9">
      <w:pPr>
        <w:pStyle w:val="ListParagraph"/>
        <w:jc w:val="center"/>
        <w:rPr>
          <w:rFonts w:asciiTheme="majorHAnsi" w:eastAsia="Times New Roman" w:hAnsiTheme="majorHAnsi" w:cstheme="majorHAnsi"/>
          <w:bCs/>
          <w:i/>
          <w:color w:val="000000"/>
        </w:rPr>
      </w:pPr>
      <w:r w:rsidRPr="001970B9">
        <w:rPr>
          <w:rFonts w:asciiTheme="majorHAnsi" w:eastAsia="Times New Roman" w:hAnsiTheme="majorHAnsi" w:cstheme="majorHAnsi"/>
          <w:bCs/>
          <w:i/>
          <w:color w:val="000000"/>
        </w:rPr>
        <w:t>“Data and/or research tools used in the preparation of this manuscript were obtained and analysed from the datasets available through the Translational Data Platform, part of the Oxford ECMC and run by Oxford Cancer. This manuscript reflects the views of the authors and may not reflect the opinions or views of the funder or of the individuals and entities submitting original data to the Translational Data Platform.”</w:t>
      </w:r>
    </w:p>
    <w:p w14:paraId="095A17E3" w14:textId="77777777" w:rsidR="001970B9" w:rsidRPr="001970B9" w:rsidRDefault="001970B9" w:rsidP="001970B9">
      <w:pPr>
        <w:ind w:left="720"/>
        <w:jc w:val="center"/>
        <w:rPr>
          <w:rFonts w:asciiTheme="majorHAnsi" w:hAnsiTheme="majorHAnsi" w:cstheme="majorHAnsi"/>
          <w:bCs/>
          <w:i/>
          <w:color w:val="000000"/>
        </w:rPr>
      </w:pPr>
      <w:r w:rsidRPr="001970B9">
        <w:rPr>
          <w:rFonts w:asciiTheme="majorHAnsi" w:hAnsiTheme="majorHAnsi" w:cstheme="majorHAnsi"/>
          <w:bCs/>
          <w:i/>
          <w:color w:val="000000"/>
        </w:rPr>
        <w:t>“Funded by a grant from Cancer Research UK and the National Institute for Health and Care Research.”</w:t>
      </w:r>
    </w:p>
    <w:p w14:paraId="6053242C" w14:textId="77777777" w:rsidR="001970B9" w:rsidRPr="001970B9" w:rsidRDefault="001970B9" w:rsidP="001970B9">
      <w:pPr>
        <w:pStyle w:val="ListParagraph"/>
        <w:rPr>
          <w:rFonts w:asciiTheme="majorHAnsi" w:eastAsia="Times New Roman" w:hAnsiTheme="majorHAnsi" w:cstheme="majorHAnsi"/>
          <w:bCs/>
          <w:i/>
          <w:color w:val="000000"/>
        </w:rPr>
      </w:pPr>
    </w:p>
    <w:p w14:paraId="709F9B7A" w14:textId="77777777" w:rsidR="001970B9" w:rsidRPr="001970B9" w:rsidRDefault="001970B9" w:rsidP="001970B9">
      <w:pPr>
        <w:pStyle w:val="ListParagraph"/>
        <w:numPr>
          <w:ilvl w:val="0"/>
          <w:numId w:val="27"/>
        </w:numPr>
        <w:spacing w:before="120" w:after="120"/>
        <w:rPr>
          <w:rFonts w:asciiTheme="majorHAnsi" w:hAnsiTheme="majorHAnsi" w:cstheme="majorHAnsi"/>
        </w:rPr>
      </w:pPr>
      <w:r w:rsidRPr="001970B9">
        <w:rPr>
          <w:rFonts w:asciiTheme="majorHAnsi" w:hAnsiTheme="majorHAnsi" w:cstheme="majorHAnsi"/>
        </w:rPr>
        <w:t>Each Party will make a reasonable effort to submit material intended for publication to the TDP and Oxford Cancer in writing not less than a month in advance of submission for publication.</w:t>
      </w:r>
    </w:p>
    <w:p w14:paraId="361C7BF3" w14:textId="77777777" w:rsidR="001970B9" w:rsidRPr="001970B9" w:rsidRDefault="001970B9" w:rsidP="001970B9">
      <w:pPr>
        <w:pStyle w:val="ListParagraph"/>
        <w:spacing w:before="120" w:after="120"/>
        <w:rPr>
          <w:rFonts w:asciiTheme="majorHAnsi" w:hAnsiTheme="majorHAnsi" w:cstheme="majorHAnsi"/>
        </w:rPr>
      </w:pPr>
    </w:p>
    <w:p w14:paraId="172200A5" w14:textId="365FD162" w:rsidR="001970B9" w:rsidRPr="001970B9" w:rsidRDefault="001970B9" w:rsidP="001970B9">
      <w:pPr>
        <w:pStyle w:val="ListParagraph"/>
        <w:numPr>
          <w:ilvl w:val="0"/>
          <w:numId w:val="27"/>
        </w:numPr>
        <w:spacing w:before="120" w:after="120"/>
        <w:rPr>
          <w:rFonts w:asciiTheme="majorHAnsi" w:hAnsiTheme="majorHAnsi" w:cstheme="majorHAnsi"/>
        </w:rPr>
      </w:pPr>
      <w:r w:rsidRPr="001970B9">
        <w:rPr>
          <w:rFonts w:asciiTheme="majorHAnsi" w:hAnsiTheme="majorHAnsi" w:cstheme="majorHAnsi"/>
        </w:rPr>
        <w:t xml:space="preserve">The TDP strongly encourages that publications generated from its data will be made available through open-access payment journals. </w:t>
      </w:r>
    </w:p>
    <w:p w14:paraId="0E7F6541" w14:textId="77777777" w:rsidR="001970B9" w:rsidRPr="001970B9" w:rsidRDefault="001970B9" w:rsidP="001970B9">
      <w:pPr>
        <w:spacing w:before="120" w:after="120"/>
        <w:rPr>
          <w:rFonts w:asciiTheme="majorHAnsi" w:hAnsiTheme="majorHAnsi" w:cstheme="majorHAnsi"/>
        </w:rPr>
      </w:pPr>
    </w:p>
    <w:p w14:paraId="485C21A4" w14:textId="77777777" w:rsidR="001970B9" w:rsidRPr="001970B9" w:rsidRDefault="001970B9" w:rsidP="001970B9">
      <w:pPr>
        <w:pStyle w:val="Heading2"/>
        <w:numPr>
          <w:ilvl w:val="0"/>
          <w:numId w:val="22"/>
        </w:numPr>
        <w:rPr>
          <w:rFonts w:cstheme="majorHAnsi"/>
        </w:rPr>
      </w:pPr>
      <w:r w:rsidRPr="001970B9">
        <w:rPr>
          <w:rFonts w:cstheme="majorHAnsi"/>
        </w:rPr>
        <w:t xml:space="preserve"> Returning Data to the TDP</w:t>
      </w:r>
    </w:p>
    <w:p w14:paraId="11835ECE" w14:textId="77777777" w:rsidR="001970B9" w:rsidRPr="001970B9" w:rsidRDefault="001970B9" w:rsidP="001970B9">
      <w:pPr>
        <w:rPr>
          <w:rFonts w:asciiTheme="majorHAnsi" w:hAnsiTheme="majorHAnsi" w:cstheme="majorHAnsi"/>
        </w:rPr>
      </w:pPr>
    </w:p>
    <w:p w14:paraId="0AC97A3F" w14:textId="26BEC44B" w:rsidR="005B493F" w:rsidRPr="001970B9" w:rsidRDefault="001970B9" w:rsidP="001970B9">
      <w:pPr>
        <w:tabs>
          <w:tab w:val="left" w:pos="2256"/>
        </w:tabs>
        <w:spacing w:before="120" w:after="120"/>
        <w:jc w:val="both"/>
        <w:rPr>
          <w:rFonts w:asciiTheme="majorHAnsi" w:hAnsiTheme="majorHAnsi" w:cstheme="majorHAnsi"/>
        </w:rPr>
      </w:pPr>
      <w:r w:rsidRPr="001970B9">
        <w:rPr>
          <w:rFonts w:asciiTheme="majorHAnsi" w:hAnsiTheme="majorHAnsi" w:cstheme="majorHAnsi"/>
        </w:rPr>
        <w:t>If the use of the data is granted it is expected that any additional data generated by their use would be returned to Oxford Cancer to be made available to the Oxford academic community. We request the data to be returned at the time of publication or 2 years after they have been obtained.</w:t>
      </w:r>
      <w:bookmarkEnd w:id="3"/>
    </w:p>
    <w:sectPr w:rsidR="005B493F" w:rsidRPr="001970B9" w:rsidSect="009016CA">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560" w:right="1440" w:bottom="1135" w:left="1440" w:header="567" w:footer="5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DEB83" w14:textId="77777777" w:rsidR="00285DC1" w:rsidRDefault="00285DC1" w:rsidP="004F52E1">
      <w:r>
        <w:separator/>
      </w:r>
    </w:p>
  </w:endnote>
  <w:endnote w:type="continuationSeparator" w:id="0">
    <w:p w14:paraId="0827A1D6" w14:textId="77777777" w:rsidR="00285DC1" w:rsidRDefault="00285DC1" w:rsidP="004F52E1">
      <w:r>
        <w:continuationSeparator/>
      </w:r>
    </w:p>
  </w:endnote>
  <w:endnote w:type="continuationNotice" w:id="1">
    <w:p w14:paraId="66801C4D" w14:textId="77777777" w:rsidR="00285DC1" w:rsidRDefault="00285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72241" w14:textId="77777777" w:rsidR="00C5492E" w:rsidRDefault="00C54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4390579"/>
      <w:docPartObj>
        <w:docPartGallery w:val="Page Numbers (Bottom of Page)"/>
        <w:docPartUnique/>
      </w:docPartObj>
    </w:sdtPr>
    <w:sdtEndPr/>
    <w:sdtContent>
      <w:sdt>
        <w:sdtPr>
          <w:id w:val="-1268780245"/>
          <w:docPartObj>
            <w:docPartGallery w:val="Page Numbers (Top of Page)"/>
            <w:docPartUnique/>
          </w:docPartObj>
        </w:sdtPr>
        <w:sdtEndPr/>
        <w:sdtContent>
          <w:p w14:paraId="29B1067A" w14:textId="78204347" w:rsidR="000B4071" w:rsidRDefault="004940C2" w:rsidP="00320A0F">
            <w:pPr>
              <w:pStyle w:val="Footer"/>
            </w:pPr>
            <w:r>
              <w:rPr>
                <w:color w:val="808080" w:themeColor="background1" w:themeShade="80"/>
              </w:rPr>
              <w:t xml:space="preserve">Translational Data Platform </w:t>
            </w:r>
            <w:r w:rsidR="00AD585B">
              <w:rPr>
                <w:color w:val="808080" w:themeColor="background1" w:themeShade="80"/>
              </w:rPr>
              <w:t>secondary data access form</w:t>
            </w:r>
            <w:r w:rsidR="000B4071">
              <w:rPr>
                <w:color w:val="808080" w:themeColor="background1" w:themeShade="80"/>
              </w:rPr>
              <w:tab/>
            </w:r>
            <w:r w:rsidR="000B4071" w:rsidRPr="00320A0F">
              <w:rPr>
                <w:color w:val="808080" w:themeColor="background1" w:themeShade="80"/>
              </w:rPr>
              <w:tab/>
              <w:t xml:space="preserve">Page </w:t>
            </w:r>
            <w:r w:rsidR="000B4071" w:rsidRPr="00320A0F">
              <w:rPr>
                <w:b/>
                <w:bCs/>
                <w:color w:val="808080" w:themeColor="background1" w:themeShade="80"/>
                <w:sz w:val="24"/>
                <w:szCs w:val="24"/>
              </w:rPr>
              <w:fldChar w:fldCharType="begin"/>
            </w:r>
            <w:r w:rsidR="000B4071" w:rsidRPr="00320A0F">
              <w:rPr>
                <w:b/>
                <w:bCs/>
                <w:color w:val="808080" w:themeColor="background1" w:themeShade="80"/>
              </w:rPr>
              <w:instrText xml:space="preserve"> PAGE </w:instrText>
            </w:r>
            <w:r w:rsidR="000B4071" w:rsidRPr="00320A0F">
              <w:rPr>
                <w:b/>
                <w:bCs/>
                <w:color w:val="808080" w:themeColor="background1" w:themeShade="80"/>
                <w:sz w:val="24"/>
                <w:szCs w:val="24"/>
              </w:rPr>
              <w:fldChar w:fldCharType="separate"/>
            </w:r>
            <w:r w:rsidR="000B4071" w:rsidRPr="00320A0F">
              <w:rPr>
                <w:b/>
                <w:bCs/>
                <w:noProof/>
                <w:color w:val="808080" w:themeColor="background1" w:themeShade="80"/>
              </w:rPr>
              <w:t>2</w:t>
            </w:r>
            <w:r w:rsidR="000B4071" w:rsidRPr="00320A0F">
              <w:rPr>
                <w:b/>
                <w:bCs/>
                <w:color w:val="808080" w:themeColor="background1" w:themeShade="80"/>
                <w:sz w:val="24"/>
                <w:szCs w:val="24"/>
              </w:rPr>
              <w:fldChar w:fldCharType="end"/>
            </w:r>
            <w:r w:rsidR="000B4071" w:rsidRPr="00320A0F">
              <w:rPr>
                <w:color w:val="808080" w:themeColor="background1" w:themeShade="80"/>
              </w:rPr>
              <w:t xml:space="preserve"> of </w:t>
            </w:r>
            <w:r w:rsidR="000B4071" w:rsidRPr="00320A0F">
              <w:rPr>
                <w:b/>
                <w:bCs/>
                <w:color w:val="808080" w:themeColor="background1" w:themeShade="80"/>
                <w:sz w:val="24"/>
                <w:szCs w:val="24"/>
              </w:rPr>
              <w:fldChar w:fldCharType="begin"/>
            </w:r>
            <w:r w:rsidR="000B4071" w:rsidRPr="00320A0F">
              <w:rPr>
                <w:b/>
                <w:bCs/>
                <w:color w:val="808080" w:themeColor="background1" w:themeShade="80"/>
              </w:rPr>
              <w:instrText xml:space="preserve"> NUMPAGES  </w:instrText>
            </w:r>
            <w:r w:rsidR="000B4071" w:rsidRPr="00320A0F">
              <w:rPr>
                <w:b/>
                <w:bCs/>
                <w:color w:val="808080" w:themeColor="background1" w:themeShade="80"/>
                <w:sz w:val="24"/>
                <w:szCs w:val="24"/>
              </w:rPr>
              <w:fldChar w:fldCharType="separate"/>
            </w:r>
            <w:r w:rsidR="000B4071" w:rsidRPr="00320A0F">
              <w:rPr>
                <w:b/>
                <w:bCs/>
                <w:noProof/>
                <w:color w:val="808080" w:themeColor="background1" w:themeShade="80"/>
              </w:rPr>
              <w:t>2</w:t>
            </w:r>
            <w:r w:rsidR="000B4071" w:rsidRPr="00320A0F">
              <w:rPr>
                <w:b/>
                <w:bCs/>
                <w:color w:val="808080" w:themeColor="background1" w:themeShade="80"/>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9DF12" w14:textId="77777777" w:rsidR="00C5492E" w:rsidRDefault="00C54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730AB" w14:textId="77777777" w:rsidR="00285DC1" w:rsidRDefault="00285DC1" w:rsidP="004F52E1">
      <w:bookmarkStart w:id="0" w:name="_Hlk86145960"/>
      <w:bookmarkEnd w:id="0"/>
      <w:r>
        <w:separator/>
      </w:r>
    </w:p>
  </w:footnote>
  <w:footnote w:type="continuationSeparator" w:id="0">
    <w:p w14:paraId="07A9EA75" w14:textId="77777777" w:rsidR="00285DC1" w:rsidRDefault="00285DC1" w:rsidP="004F52E1">
      <w:r>
        <w:continuationSeparator/>
      </w:r>
    </w:p>
  </w:footnote>
  <w:footnote w:type="continuationNotice" w:id="1">
    <w:p w14:paraId="7D5440C7" w14:textId="77777777" w:rsidR="00285DC1" w:rsidRDefault="00285D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5241F" w14:textId="77777777" w:rsidR="00C5492E" w:rsidRDefault="00C549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F02D9" w14:textId="76A76CE7" w:rsidR="000B4071" w:rsidRPr="004B4E60" w:rsidRDefault="00C5492E" w:rsidP="00C5492E">
    <w:pPr>
      <w:tabs>
        <w:tab w:val="left" w:pos="2520"/>
      </w:tabs>
      <w:rPr>
        <w:rFonts w:cstheme="minorHAnsi"/>
      </w:rPr>
    </w:pPr>
    <w:r w:rsidRPr="00C5492E">
      <w:rPr>
        <w:rFonts w:cstheme="minorHAnsi"/>
        <w:noProof/>
      </w:rPr>
      <w:drawing>
        <wp:anchor distT="0" distB="0" distL="114300" distR="114300" simplePos="0" relativeHeight="251658240" behindDoc="0" locked="0" layoutInCell="1" allowOverlap="1" wp14:anchorId="754C001C" wp14:editId="5514F8B7">
          <wp:simplePos x="0" y="0"/>
          <wp:positionH relativeFrom="column">
            <wp:posOffset>4248150</wp:posOffset>
          </wp:positionH>
          <wp:positionV relativeFrom="paragraph">
            <wp:posOffset>11430</wp:posOffset>
          </wp:positionV>
          <wp:extent cx="1423035" cy="360680"/>
          <wp:effectExtent l="0" t="0" r="571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23035" cy="360680"/>
                  </a:xfrm>
                  <a:prstGeom prst="rect">
                    <a:avLst/>
                  </a:prstGeom>
                </pic:spPr>
              </pic:pic>
            </a:graphicData>
          </a:graphic>
        </wp:anchor>
      </w:drawing>
    </w:r>
    <w:r w:rsidR="000B4071">
      <w:rPr>
        <w:rFonts w:cstheme="minorHAnsi"/>
        <w:noProof/>
      </w:rPr>
      <w:drawing>
        <wp:inline distT="0" distB="0" distL="0" distR="0" wp14:anchorId="76B581CB" wp14:editId="2C415025">
          <wp:extent cx="2553419" cy="356524"/>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
                    <a:extLst>
                      <a:ext uri="{28A0092B-C50C-407E-A947-70E740481C1C}">
                        <a14:useLocalDpi xmlns:a14="http://schemas.microsoft.com/office/drawing/2010/main" val="0"/>
                      </a:ext>
                    </a:extLst>
                  </a:blip>
                  <a:srcRect t="18102" b="18041"/>
                  <a:stretch/>
                </pic:blipFill>
                <pic:spPr bwMode="auto">
                  <a:xfrm>
                    <a:off x="0" y="0"/>
                    <a:ext cx="2613378" cy="364896"/>
                  </a:xfrm>
                  <a:prstGeom prst="rect">
                    <a:avLst/>
                  </a:prstGeom>
                  <a:ln>
                    <a:noFill/>
                  </a:ln>
                  <a:extLst>
                    <a:ext uri="{53640926-AAD7-44D8-BBD7-CCE9431645EC}">
                      <a14:shadowObscured xmlns:a14="http://schemas.microsoft.com/office/drawing/2010/main"/>
                    </a:ext>
                  </a:extLst>
                </pic:spPr>
              </pic:pic>
            </a:graphicData>
          </a:graphic>
        </wp:inline>
      </w:drawing>
    </w:r>
    <w:r w:rsidRPr="00C5492E">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3649F" w14:textId="77777777" w:rsidR="00C5492E" w:rsidRDefault="00C54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A164F"/>
    <w:multiLevelType w:val="hybridMultilevel"/>
    <w:tmpl w:val="0D26A5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A30B4"/>
    <w:multiLevelType w:val="hybridMultilevel"/>
    <w:tmpl w:val="2E141262"/>
    <w:lvl w:ilvl="0" w:tplc="DE32E94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306F8"/>
    <w:multiLevelType w:val="hybridMultilevel"/>
    <w:tmpl w:val="F1563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740FD"/>
    <w:multiLevelType w:val="hybridMultilevel"/>
    <w:tmpl w:val="C2BC1D3A"/>
    <w:lvl w:ilvl="0" w:tplc="7A1AB49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E731C"/>
    <w:multiLevelType w:val="hybridMultilevel"/>
    <w:tmpl w:val="2FE00E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E331D3"/>
    <w:multiLevelType w:val="hybridMultilevel"/>
    <w:tmpl w:val="2006F9C8"/>
    <w:lvl w:ilvl="0" w:tplc="8856C88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9156A"/>
    <w:multiLevelType w:val="hybridMultilevel"/>
    <w:tmpl w:val="5A6E7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534AA"/>
    <w:multiLevelType w:val="hybridMultilevel"/>
    <w:tmpl w:val="538EE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1460FF"/>
    <w:multiLevelType w:val="hybridMultilevel"/>
    <w:tmpl w:val="A0E2853A"/>
    <w:lvl w:ilvl="0" w:tplc="15D63154">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231C36"/>
    <w:multiLevelType w:val="hybridMultilevel"/>
    <w:tmpl w:val="F23478A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7D26961"/>
    <w:multiLevelType w:val="hybridMultilevel"/>
    <w:tmpl w:val="10169860"/>
    <w:lvl w:ilvl="0" w:tplc="69926592">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9060F4C"/>
    <w:multiLevelType w:val="multilevel"/>
    <w:tmpl w:val="C8CA627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9C80672"/>
    <w:multiLevelType w:val="hybridMultilevel"/>
    <w:tmpl w:val="DFA2EBF0"/>
    <w:lvl w:ilvl="0" w:tplc="7A28F65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8341D7"/>
    <w:multiLevelType w:val="hybridMultilevel"/>
    <w:tmpl w:val="41941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EF0ECC"/>
    <w:multiLevelType w:val="hybridMultilevel"/>
    <w:tmpl w:val="9E581ABA"/>
    <w:lvl w:ilvl="0" w:tplc="FF0646E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6A01AE"/>
    <w:multiLevelType w:val="hybridMultilevel"/>
    <w:tmpl w:val="62D04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04837"/>
    <w:multiLevelType w:val="hybridMultilevel"/>
    <w:tmpl w:val="726C34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C60AD1"/>
    <w:multiLevelType w:val="hybridMultilevel"/>
    <w:tmpl w:val="26366CA0"/>
    <w:lvl w:ilvl="0" w:tplc="AE2AEF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283F20"/>
    <w:multiLevelType w:val="hybridMultilevel"/>
    <w:tmpl w:val="2ABA8A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C31537"/>
    <w:multiLevelType w:val="hybridMultilevel"/>
    <w:tmpl w:val="4B36C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F76F5F"/>
    <w:multiLevelType w:val="hybridMultilevel"/>
    <w:tmpl w:val="D0D2A4EA"/>
    <w:lvl w:ilvl="0" w:tplc="15D63154">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A924EF"/>
    <w:multiLevelType w:val="hybridMultilevel"/>
    <w:tmpl w:val="C0AE8B02"/>
    <w:lvl w:ilvl="0" w:tplc="3A96E794">
      <w:start w:val="1"/>
      <w:numFmt w:val="decimal"/>
      <w:lvlText w:val="%1."/>
      <w:lvlJc w:val="left"/>
      <w:pPr>
        <w:ind w:left="391" w:hanging="360"/>
      </w:pPr>
      <w:rPr>
        <w:rFonts w:hint="default"/>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22" w15:restartNumberingAfterBreak="0">
    <w:nsid w:val="59EF7A2B"/>
    <w:multiLevelType w:val="hybridMultilevel"/>
    <w:tmpl w:val="4528684E"/>
    <w:lvl w:ilvl="0" w:tplc="7A28F65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EF6015"/>
    <w:multiLevelType w:val="hybridMultilevel"/>
    <w:tmpl w:val="90E41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50597E"/>
    <w:multiLevelType w:val="hybridMultilevel"/>
    <w:tmpl w:val="2FE00E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861804"/>
    <w:multiLevelType w:val="hybridMultilevel"/>
    <w:tmpl w:val="7B76F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E0398C"/>
    <w:multiLevelType w:val="hybridMultilevel"/>
    <w:tmpl w:val="F70C10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504C50"/>
    <w:multiLevelType w:val="hybridMultilevel"/>
    <w:tmpl w:val="B0B22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9"/>
  </w:num>
  <w:num w:numId="4">
    <w:abstractNumId w:val="13"/>
  </w:num>
  <w:num w:numId="5">
    <w:abstractNumId w:val="21"/>
  </w:num>
  <w:num w:numId="6">
    <w:abstractNumId w:val="2"/>
  </w:num>
  <w:num w:numId="7">
    <w:abstractNumId w:val="5"/>
  </w:num>
  <w:num w:numId="8">
    <w:abstractNumId w:val="22"/>
  </w:num>
  <w:num w:numId="9">
    <w:abstractNumId w:val="12"/>
  </w:num>
  <w:num w:numId="10">
    <w:abstractNumId w:val="16"/>
  </w:num>
  <w:num w:numId="11">
    <w:abstractNumId w:val="15"/>
  </w:num>
  <w:num w:numId="12">
    <w:abstractNumId w:val="27"/>
  </w:num>
  <w:num w:numId="13">
    <w:abstractNumId w:val="18"/>
  </w:num>
  <w:num w:numId="14">
    <w:abstractNumId w:val="23"/>
  </w:num>
  <w:num w:numId="15">
    <w:abstractNumId w:val="6"/>
  </w:num>
  <w:num w:numId="16">
    <w:abstractNumId w:val="10"/>
  </w:num>
  <w:num w:numId="17">
    <w:abstractNumId w:val="20"/>
  </w:num>
  <w:num w:numId="18">
    <w:abstractNumId w:val="8"/>
  </w:num>
  <w:num w:numId="19">
    <w:abstractNumId w:val="4"/>
  </w:num>
  <w:num w:numId="20">
    <w:abstractNumId w:val="24"/>
  </w:num>
  <w:num w:numId="21">
    <w:abstractNumId w:val="26"/>
  </w:num>
  <w:num w:numId="22">
    <w:abstractNumId w:val="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4"/>
  </w:num>
  <w:num w:numId="26">
    <w:abstractNumId w:val="3"/>
  </w:num>
  <w:num w:numId="27">
    <w:abstractNumId w:val="17"/>
  </w:num>
  <w:num w:numId="2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50C"/>
    <w:rsid w:val="00000185"/>
    <w:rsid w:val="000003EB"/>
    <w:rsid w:val="00000D6E"/>
    <w:rsid w:val="00003021"/>
    <w:rsid w:val="00004024"/>
    <w:rsid w:val="000059DC"/>
    <w:rsid w:val="00006ADE"/>
    <w:rsid w:val="00006E80"/>
    <w:rsid w:val="000074A8"/>
    <w:rsid w:val="00007F50"/>
    <w:rsid w:val="00007F64"/>
    <w:rsid w:val="00012959"/>
    <w:rsid w:val="00016DAC"/>
    <w:rsid w:val="00016F9A"/>
    <w:rsid w:val="000173BD"/>
    <w:rsid w:val="00021092"/>
    <w:rsid w:val="00021FA6"/>
    <w:rsid w:val="00022920"/>
    <w:rsid w:val="00025354"/>
    <w:rsid w:val="0002741B"/>
    <w:rsid w:val="000275A1"/>
    <w:rsid w:val="00030765"/>
    <w:rsid w:val="000309D4"/>
    <w:rsid w:val="00030C75"/>
    <w:rsid w:val="00030E8A"/>
    <w:rsid w:val="0003113E"/>
    <w:rsid w:val="00031160"/>
    <w:rsid w:val="00032323"/>
    <w:rsid w:val="000326D5"/>
    <w:rsid w:val="00032F3C"/>
    <w:rsid w:val="00037D1D"/>
    <w:rsid w:val="00040351"/>
    <w:rsid w:val="000416EE"/>
    <w:rsid w:val="00041A82"/>
    <w:rsid w:val="00044F3A"/>
    <w:rsid w:val="00045AC9"/>
    <w:rsid w:val="000461C6"/>
    <w:rsid w:val="000470D8"/>
    <w:rsid w:val="000477C0"/>
    <w:rsid w:val="00053D45"/>
    <w:rsid w:val="0005683A"/>
    <w:rsid w:val="00057FFD"/>
    <w:rsid w:val="00060279"/>
    <w:rsid w:val="00060457"/>
    <w:rsid w:val="00060D0D"/>
    <w:rsid w:val="00060FFB"/>
    <w:rsid w:val="00061A52"/>
    <w:rsid w:val="00063495"/>
    <w:rsid w:val="00064B73"/>
    <w:rsid w:val="00064DD5"/>
    <w:rsid w:val="00067C0E"/>
    <w:rsid w:val="00067D78"/>
    <w:rsid w:val="00070E5B"/>
    <w:rsid w:val="0007128A"/>
    <w:rsid w:val="00072231"/>
    <w:rsid w:val="00073774"/>
    <w:rsid w:val="0007549A"/>
    <w:rsid w:val="00076144"/>
    <w:rsid w:val="000761B1"/>
    <w:rsid w:val="000769F2"/>
    <w:rsid w:val="00077ADB"/>
    <w:rsid w:val="00080A97"/>
    <w:rsid w:val="00081B89"/>
    <w:rsid w:val="000821AF"/>
    <w:rsid w:val="00082C4C"/>
    <w:rsid w:val="0008389D"/>
    <w:rsid w:val="00083AC0"/>
    <w:rsid w:val="00084676"/>
    <w:rsid w:val="000849FD"/>
    <w:rsid w:val="00086BAA"/>
    <w:rsid w:val="00086CB4"/>
    <w:rsid w:val="0008709E"/>
    <w:rsid w:val="0009374F"/>
    <w:rsid w:val="00097C84"/>
    <w:rsid w:val="000A136C"/>
    <w:rsid w:val="000A3C9C"/>
    <w:rsid w:val="000A5CCC"/>
    <w:rsid w:val="000A6ED9"/>
    <w:rsid w:val="000A6FE7"/>
    <w:rsid w:val="000A7614"/>
    <w:rsid w:val="000A788C"/>
    <w:rsid w:val="000A7FBA"/>
    <w:rsid w:val="000B0C01"/>
    <w:rsid w:val="000B0C4C"/>
    <w:rsid w:val="000B1237"/>
    <w:rsid w:val="000B2E24"/>
    <w:rsid w:val="000B32DA"/>
    <w:rsid w:val="000B343D"/>
    <w:rsid w:val="000B3993"/>
    <w:rsid w:val="000B4071"/>
    <w:rsid w:val="000C26B0"/>
    <w:rsid w:val="000C431E"/>
    <w:rsid w:val="000C524C"/>
    <w:rsid w:val="000C72E2"/>
    <w:rsid w:val="000D0C02"/>
    <w:rsid w:val="000D169A"/>
    <w:rsid w:val="000D4037"/>
    <w:rsid w:val="000D50D5"/>
    <w:rsid w:val="000D65E5"/>
    <w:rsid w:val="000D6AB0"/>
    <w:rsid w:val="000D6E3C"/>
    <w:rsid w:val="000D7E91"/>
    <w:rsid w:val="000E0114"/>
    <w:rsid w:val="000E12F6"/>
    <w:rsid w:val="000E2882"/>
    <w:rsid w:val="000E2978"/>
    <w:rsid w:val="000E39B9"/>
    <w:rsid w:val="000E3FF7"/>
    <w:rsid w:val="000E5560"/>
    <w:rsid w:val="000E67C2"/>
    <w:rsid w:val="000E6834"/>
    <w:rsid w:val="000E7CE2"/>
    <w:rsid w:val="000F107F"/>
    <w:rsid w:val="000F1673"/>
    <w:rsid w:val="000F202F"/>
    <w:rsid w:val="000F3B8B"/>
    <w:rsid w:val="000F4CC8"/>
    <w:rsid w:val="000F6398"/>
    <w:rsid w:val="000F6ECB"/>
    <w:rsid w:val="00105E01"/>
    <w:rsid w:val="001072F5"/>
    <w:rsid w:val="00107755"/>
    <w:rsid w:val="00107C76"/>
    <w:rsid w:val="00110F63"/>
    <w:rsid w:val="00112878"/>
    <w:rsid w:val="001142BC"/>
    <w:rsid w:val="001168D6"/>
    <w:rsid w:val="00120185"/>
    <w:rsid w:val="001227B0"/>
    <w:rsid w:val="00122DF3"/>
    <w:rsid w:val="00125116"/>
    <w:rsid w:val="001253ED"/>
    <w:rsid w:val="001259D0"/>
    <w:rsid w:val="00125EB4"/>
    <w:rsid w:val="00126028"/>
    <w:rsid w:val="00126219"/>
    <w:rsid w:val="0012676F"/>
    <w:rsid w:val="001267C8"/>
    <w:rsid w:val="00127500"/>
    <w:rsid w:val="001304BF"/>
    <w:rsid w:val="0013073C"/>
    <w:rsid w:val="001313A9"/>
    <w:rsid w:val="00132101"/>
    <w:rsid w:val="00133EA5"/>
    <w:rsid w:val="0013658D"/>
    <w:rsid w:val="001368C7"/>
    <w:rsid w:val="001369ED"/>
    <w:rsid w:val="001403F6"/>
    <w:rsid w:val="00140E80"/>
    <w:rsid w:val="001428BB"/>
    <w:rsid w:val="0014451B"/>
    <w:rsid w:val="0014485C"/>
    <w:rsid w:val="00146CAF"/>
    <w:rsid w:val="001478EB"/>
    <w:rsid w:val="00147B6E"/>
    <w:rsid w:val="0015016A"/>
    <w:rsid w:val="0015149E"/>
    <w:rsid w:val="001527AF"/>
    <w:rsid w:val="00152FFF"/>
    <w:rsid w:val="0015370F"/>
    <w:rsid w:val="00153728"/>
    <w:rsid w:val="00157236"/>
    <w:rsid w:val="00157987"/>
    <w:rsid w:val="00160E8D"/>
    <w:rsid w:val="00162892"/>
    <w:rsid w:val="001628A9"/>
    <w:rsid w:val="00162AA1"/>
    <w:rsid w:val="00164573"/>
    <w:rsid w:val="0016465C"/>
    <w:rsid w:val="001669DB"/>
    <w:rsid w:val="0016738B"/>
    <w:rsid w:val="0016756B"/>
    <w:rsid w:val="001716FB"/>
    <w:rsid w:val="001731F0"/>
    <w:rsid w:val="0017573A"/>
    <w:rsid w:val="001768CE"/>
    <w:rsid w:val="00176BCC"/>
    <w:rsid w:val="00177B85"/>
    <w:rsid w:val="00180A84"/>
    <w:rsid w:val="0018119B"/>
    <w:rsid w:val="0018401B"/>
    <w:rsid w:val="001844AB"/>
    <w:rsid w:val="001854F1"/>
    <w:rsid w:val="00185D09"/>
    <w:rsid w:val="00187E0B"/>
    <w:rsid w:val="001906AF"/>
    <w:rsid w:val="0019083E"/>
    <w:rsid w:val="00190A47"/>
    <w:rsid w:val="00195532"/>
    <w:rsid w:val="00196B63"/>
    <w:rsid w:val="00196E0C"/>
    <w:rsid w:val="001970B9"/>
    <w:rsid w:val="00197C33"/>
    <w:rsid w:val="001A0533"/>
    <w:rsid w:val="001A0CE1"/>
    <w:rsid w:val="001A16B1"/>
    <w:rsid w:val="001A1D21"/>
    <w:rsid w:val="001A2944"/>
    <w:rsid w:val="001A3D96"/>
    <w:rsid w:val="001A4661"/>
    <w:rsid w:val="001A47C8"/>
    <w:rsid w:val="001A47D9"/>
    <w:rsid w:val="001A51DA"/>
    <w:rsid w:val="001A5478"/>
    <w:rsid w:val="001A5CBA"/>
    <w:rsid w:val="001A5DB5"/>
    <w:rsid w:val="001A612D"/>
    <w:rsid w:val="001A7107"/>
    <w:rsid w:val="001A7BAF"/>
    <w:rsid w:val="001B0185"/>
    <w:rsid w:val="001B0C88"/>
    <w:rsid w:val="001B168A"/>
    <w:rsid w:val="001B3721"/>
    <w:rsid w:val="001C12C5"/>
    <w:rsid w:val="001C18F8"/>
    <w:rsid w:val="001C2433"/>
    <w:rsid w:val="001C24B9"/>
    <w:rsid w:val="001C58D8"/>
    <w:rsid w:val="001C5E68"/>
    <w:rsid w:val="001C653F"/>
    <w:rsid w:val="001C72DE"/>
    <w:rsid w:val="001D132A"/>
    <w:rsid w:val="001D13A5"/>
    <w:rsid w:val="001D379B"/>
    <w:rsid w:val="001D4237"/>
    <w:rsid w:val="001D7572"/>
    <w:rsid w:val="001E0DAA"/>
    <w:rsid w:val="001E16B4"/>
    <w:rsid w:val="001E2170"/>
    <w:rsid w:val="001E3BE3"/>
    <w:rsid w:val="001E5539"/>
    <w:rsid w:val="001E5AE4"/>
    <w:rsid w:val="001E62FC"/>
    <w:rsid w:val="001E647B"/>
    <w:rsid w:val="001E6A41"/>
    <w:rsid w:val="001E7CB5"/>
    <w:rsid w:val="001F1C5B"/>
    <w:rsid w:val="001F27AF"/>
    <w:rsid w:val="001F4083"/>
    <w:rsid w:val="001F62D2"/>
    <w:rsid w:val="001F6540"/>
    <w:rsid w:val="001F6E3E"/>
    <w:rsid w:val="001F7F93"/>
    <w:rsid w:val="002005FC"/>
    <w:rsid w:val="00200743"/>
    <w:rsid w:val="00201A7B"/>
    <w:rsid w:val="002021E2"/>
    <w:rsid w:val="00202982"/>
    <w:rsid w:val="002032A6"/>
    <w:rsid w:val="0020341B"/>
    <w:rsid w:val="00203612"/>
    <w:rsid w:val="00203618"/>
    <w:rsid w:val="0020679E"/>
    <w:rsid w:val="00210A4E"/>
    <w:rsid w:val="00210C9A"/>
    <w:rsid w:val="002111F9"/>
    <w:rsid w:val="00214D48"/>
    <w:rsid w:val="00215839"/>
    <w:rsid w:val="00221E0C"/>
    <w:rsid w:val="002228DF"/>
    <w:rsid w:val="00223C77"/>
    <w:rsid w:val="00224073"/>
    <w:rsid w:val="0023218D"/>
    <w:rsid w:val="002332CC"/>
    <w:rsid w:val="0023507F"/>
    <w:rsid w:val="00236262"/>
    <w:rsid w:val="00237CDF"/>
    <w:rsid w:val="00240A40"/>
    <w:rsid w:val="00240A6E"/>
    <w:rsid w:val="00241250"/>
    <w:rsid w:val="00241DCC"/>
    <w:rsid w:val="00245F5A"/>
    <w:rsid w:val="00246C6F"/>
    <w:rsid w:val="00247328"/>
    <w:rsid w:val="002479D8"/>
    <w:rsid w:val="002532EF"/>
    <w:rsid w:val="00253E30"/>
    <w:rsid w:val="002547C6"/>
    <w:rsid w:val="002553EA"/>
    <w:rsid w:val="00255894"/>
    <w:rsid w:val="00255E69"/>
    <w:rsid w:val="002561EE"/>
    <w:rsid w:val="002576FB"/>
    <w:rsid w:val="00257D10"/>
    <w:rsid w:val="00260873"/>
    <w:rsid w:val="002627F9"/>
    <w:rsid w:val="00265577"/>
    <w:rsid w:val="0026789B"/>
    <w:rsid w:val="00267D4F"/>
    <w:rsid w:val="00270A19"/>
    <w:rsid w:val="00270B6D"/>
    <w:rsid w:val="00271205"/>
    <w:rsid w:val="002718A8"/>
    <w:rsid w:val="00272B68"/>
    <w:rsid w:val="00275389"/>
    <w:rsid w:val="002763B1"/>
    <w:rsid w:val="00276D10"/>
    <w:rsid w:val="002818F2"/>
    <w:rsid w:val="0028352C"/>
    <w:rsid w:val="00284896"/>
    <w:rsid w:val="00284A3A"/>
    <w:rsid w:val="00285DC1"/>
    <w:rsid w:val="002873C2"/>
    <w:rsid w:val="002921F0"/>
    <w:rsid w:val="002930C7"/>
    <w:rsid w:val="00294303"/>
    <w:rsid w:val="002970C3"/>
    <w:rsid w:val="00297B52"/>
    <w:rsid w:val="002A0F29"/>
    <w:rsid w:val="002A1ABD"/>
    <w:rsid w:val="002A4917"/>
    <w:rsid w:val="002A4A4A"/>
    <w:rsid w:val="002A62B0"/>
    <w:rsid w:val="002A7438"/>
    <w:rsid w:val="002B1C72"/>
    <w:rsid w:val="002B2F7F"/>
    <w:rsid w:val="002B45AB"/>
    <w:rsid w:val="002B4693"/>
    <w:rsid w:val="002B4C3B"/>
    <w:rsid w:val="002B5BA8"/>
    <w:rsid w:val="002B5F42"/>
    <w:rsid w:val="002B7D3B"/>
    <w:rsid w:val="002C17A8"/>
    <w:rsid w:val="002C34A3"/>
    <w:rsid w:val="002C7EB3"/>
    <w:rsid w:val="002D16CA"/>
    <w:rsid w:val="002D2055"/>
    <w:rsid w:val="002D2332"/>
    <w:rsid w:val="002D28DE"/>
    <w:rsid w:val="002D433E"/>
    <w:rsid w:val="002D48AB"/>
    <w:rsid w:val="002D4B3C"/>
    <w:rsid w:val="002D60BC"/>
    <w:rsid w:val="002E1A10"/>
    <w:rsid w:val="002E1C8C"/>
    <w:rsid w:val="002E2D7A"/>
    <w:rsid w:val="002E32D9"/>
    <w:rsid w:val="002E4054"/>
    <w:rsid w:val="002E4269"/>
    <w:rsid w:val="002E6F33"/>
    <w:rsid w:val="002F0743"/>
    <w:rsid w:val="002F081C"/>
    <w:rsid w:val="002F089C"/>
    <w:rsid w:val="002F3779"/>
    <w:rsid w:val="002F37DB"/>
    <w:rsid w:val="002F391D"/>
    <w:rsid w:val="002F4647"/>
    <w:rsid w:val="002F5C57"/>
    <w:rsid w:val="002F5C90"/>
    <w:rsid w:val="002F68EE"/>
    <w:rsid w:val="002F7936"/>
    <w:rsid w:val="00300849"/>
    <w:rsid w:val="0030165E"/>
    <w:rsid w:val="00302719"/>
    <w:rsid w:val="00303FF3"/>
    <w:rsid w:val="003042C6"/>
    <w:rsid w:val="00307A4B"/>
    <w:rsid w:val="003101DA"/>
    <w:rsid w:val="00311067"/>
    <w:rsid w:val="00311B0B"/>
    <w:rsid w:val="00312B35"/>
    <w:rsid w:val="003146F8"/>
    <w:rsid w:val="00316DEB"/>
    <w:rsid w:val="00317136"/>
    <w:rsid w:val="00317606"/>
    <w:rsid w:val="00320A0F"/>
    <w:rsid w:val="00321130"/>
    <w:rsid w:val="003222D6"/>
    <w:rsid w:val="003234A9"/>
    <w:rsid w:val="00326B4D"/>
    <w:rsid w:val="003301FA"/>
    <w:rsid w:val="003302F1"/>
    <w:rsid w:val="00331377"/>
    <w:rsid w:val="00331EB3"/>
    <w:rsid w:val="00332785"/>
    <w:rsid w:val="00333EC4"/>
    <w:rsid w:val="00334348"/>
    <w:rsid w:val="003347F1"/>
    <w:rsid w:val="003349E7"/>
    <w:rsid w:val="003371C9"/>
    <w:rsid w:val="00341790"/>
    <w:rsid w:val="00341A59"/>
    <w:rsid w:val="00341ACF"/>
    <w:rsid w:val="00342C0A"/>
    <w:rsid w:val="00350168"/>
    <w:rsid w:val="00351AD9"/>
    <w:rsid w:val="00352F74"/>
    <w:rsid w:val="003532AA"/>
    <w:rsid w:val="003543DB"/>
    <w:rsid w:val="00361562"/>
    <w:rsid w:val="00361E81"/>
    <w:rsid w:val="0036221F"/>
    <w:rsid w:val="00362ADA"/>
    <w:rsid w:val="00364D08"/>
    <w:rsid w:val="00364FEB"/>
    <w:rsid w:val="00365317"/>
    <w:rsid w:val="00365739"/>
    <w:rsid w:val="0036786C"/>
    <w:rsid w:val="00367BA2"/>
    <w:rsid w:val="00370063"/>
    <w:rsid w:val="00372541"/>
    <w:rsid w:val="0037321C"/>
    <w:rsid w:val="00373682"/>
    <w:rsid w:val="00373906"/>
    <w:rsid w:val="003752C0"/>
    <w:rsid w:val="00375353"/>
    <w:rsid w:val="00383208"/>
    <w:rsid w:val="00383AAD"/>
    <w:rsid w:val="00384D78"/>
    <w:rsid w:val="00385B97"/>
    <w:rsid w:val="0038619E"/>
    <w:rsid w:val="00386B7D"/>
    <w:rsid w:val="00387980"/>
    <w:rsid w:val="00390C74"/>
    <w:rsid w:val="00392083"/>
    <w:rsid w:val="00392468"/>
    <w:rsid w:val="00393D00"/>
    <w:rsid w:val="00394BEF"/>
    <w:rsid w:val="00396BA5"/>
    <w:rsid w:val="003A0F4A"/>
    <w:rsid w:val="003A3822"/>
    <w:rsid w:val="003A3F34"/>
    <w:rsid w:val="003A47C5"/>
    <w:rsid w:val="003A4943"/>
    <w:rsid w:val="003A4D6B"/>
    <w:rsid w:val="003A6D24"/>
    <w:rsid w:val="003A6F01"/>
    <w:rsid w:val="003A6F60"/>
    <w:rsid w:val="003B04E5"/>
    <w:rsid w:val="003B220E"/>
    <w:rsid w:val="003B4268"/>
    <w:rsid w:val="003B4B1C"/>
    <w:rsid w:val="003B6C4A"/>
    <w:rsid w:val="003C0B49"/>
    <w:rsid w:val="003C20D0"/>
    <w:rsid w:val="003C3D28"/>
    <w:rsid w:val="003C5060"/>
    <w:rsid w:val="003C5B45"/>
    <w:rsid w:val="003C5E1A"/>
    <w:rsid w:val="003C63B5"/>
    <w:rsid w:val="003C758A"/>
    <w:rsid w:val="003C7692"/>
    <w:rsid w:val="003D050E"/>
    <w:rsid w:val="003D0FF7"/>
    <w:rsid w:val="003D2B29"/>
    <w:rsid w:val="003D2C12"/>
    <w:rsid w:val="003D41DB"/>
    <w:rsid w:val="003D5865"/>
    <w:rsid w:val="003D615B"/>
    <w:rsid w:val="003D6D95"/>
    <w:rsid w:val="003D7A10"/>
    <w:rsid w:val="003E0965"/>
    <w:rsid w:val="003E0E07"/>
    <w:rsid w:val="003E4BDC"/>
    <w:rsid w:val="003E6C84"/>
    <w:rsid w:val="003E74AB"/>
    <w:rsid w:val="003F079B"/>
    <w:rsid w:val="003F163C"/>
    <w:rsid w:val="003F1671"/>
    <w:rsid w:val="003F282C"/>
    <w:rsid w:val="003F3FAF"/>
    <w:rsid w:val="003F4063"/>
    <w:rsid w:val="003F58F5"/>
    <w:rsid w:val="0040122F"/>
    <w:rsid w:val="00402CC2"/>
    <w:rsid w:val="00404FD9"/>
    <w:rsid w:val="00410CCA"/>
    <w:rsid w:val="004142D9"/>
    <w:rsid w:val="00415765"/>
    <w:rsid w:val="00416C07"/>
    <w:rsid w:val="004177B7"/>
    <w:rsid w:val="00421AA0"/>
    <w:rsid w:val="0042326D"/>
    <w:rsid w:val="00431107"/>
    <w:rsid w:val="00432165"/>
    <w:rsid w:val="0043469A"/>
    <w:rsid w:val="00435459"/>
    <w:rsid w:val="0043580E"/>
    <w:rsid w:val="0043768C"/>
    <w:rsid w:val="004400D3"/>
    <w:rsid w:val="00440DB6"/>
    <w:rsid w:val="00440EE9"/>
    <w:rsid w:val="00441B48"/>
    <w:rsid w:val="0044362C"/>
    <w:rsid w:val="004436FD"/>
    <w:rsid w:val="00443F7C"/>
    <w:rsid w:val="00446630"/>
    <w:rsid w:val="00446B4D"/>
    <w:rsid w:val="00447DBE"/>
    <w:rsid w:val="004513D8"/>
    <w:rsid w:val="00451E80"/>
    <w:rsid w:val="00453AF1"/>
    <w:rsid w:val="00454222"/>
    <w:rsid w:val="004602AB"/>
    <w:rsid w:val="00460E63"/>
    <w:rsid w:val="00460FF7"/>
    <w:rsid w:val="00464074"/>
    <w:rsid w:val="00465D6F"/>
    <w:rsid w:val="00465D9B"/>
    <w:rsid w:val="00467039"/>
    <w:rsid w:val="00470F4B"/>
    <w:rsid w:val="00472015"/>
    <w:rsid w:val="00472314"/>
    <w:rsid w:val="00473749"/>
    <w:rsid w:val="00474477"/>
    <w:rsid w:val="004759F9"/>
    <w:rsid w:val="00476423"/>
    <w:rsid w:val="00476B67"/>
    <w:rsid w:val="004803C5"/>
    <w:rsid w:val="00480A35"/>
    <w:rsid w:val="0048134F"/>
    <w:rsid w:val="0048186D"/>
    <w:rsid w:val="00482135"/>
    <w:rsid w:val="00482BD6"/>
    <w:rsid w:val="00482CAF"/>
    <w:rsid w:val="00484005"/>
    <w:rsid w:val="0048570C"/>
    <w:rsid w:val="00486BA0"/>
    <w:rsid w:val="00491C4F"/>
    <w:rsid w:val="00492D9F"/>
    <w:rsid w:val="004933DC"/>
    <w:rsid w:val="004940C2"/>
    <w:rsid w:val="004979C1"/>
    <w:rsid w:val="004A07C0"/>
    <w:rsid w:val="004A0943"/>
    <w:rsid w:val="004A102D"/>
    <w:rsid w:val="004A1801"/>
    <w:rsid w:val="004A1CBC"/>
    <w:rsid w:val="004A3F8C"/>
    <w:rsid w:val="004A6119"/>
    <w:rsid w:val="004A74F6"/>
    <w:rsid w:val="004B08BB"/>
    <w:rsid w:val="004B0EFA"/>
    <w:rsid w:val="004B21C0"/>
    <w:rsid w:val="004B2816"/>
    <w:rsid w:val="004B28CA"/>
    <w:rsid w:val="004B3846"/>
    <w:rsid w:val="004B3D31"/>
    <w:rsid w:val="004B40E2"/>
    <w:rsid w:val="004B418C"/>
    <w:rsid w:val="004B5BC7"/>
    <w:rsid w:val="004B65D7"/>
    <w:rsid w:val="004B6890"/>
    <w:rsid w:val="004C0C86"/>
    <w:rsid w:val="004C150A"/>
    <w:rsid w:val="004C1C39"/>
    <w:rsid w:val="004C4271"/>
    <w:rsid w:val="004C6AE5"/>
    <w:rsid w:val="004C73C0"/>
    <w:rsid w:val="004D0228"/>
    <w:rsid w:val="004D034F"/>
    <w:rsid w:val="004D1BC5"/>
    <w:rsid w:val="004D5C0B"/>
    <w:rsid w:val="004D67F1"/>
    <w:rsid w:val="004D6BE9"/>
    <w:rsid w:val="004D7338"/>
    <w:rsid w:val="004D7CC4"/>
    <w:rsid w:val="004D7E1A"/>
    <w:rsid w:val="004E0576"/>
    <w:rsid w:val="004E0EE1"/>
    <w:rsid w:val="004E15EA"/>
    <w:rsid w:val="004E5246"/>
    <w:rsid w:val="004E6407"/>
    <w:rsid w:val="004E726A"/>
    <w:rsid w:val="004E750E"/>
    <w:rsid w:val="004F2CB3"/>
    <w:rsid w:val="004F3113"/>
    <w:rsid w:val="004F3556"/>
    <w:rsid w:val="004F52E1"/>
    <w:rsid w:val="004F5F90"/>
    <w:rsid w:val="00501257"/>
    <w:rsid w:val="00501BE9"/>
    <w:rsid w:val="00501D6E"/>
    <w:rsid w:val="005022B5"/>
    <w:rsid w:val="00503612"/>
    <w:rsid w:val="005036D5"/>
    <w:rsid w:val="005045F8"/>
    <w:rsid w:val="00505F42"/>
    <w:rsid w:val="00510B03"/>
    <w:rsid w:val="0051331D"/>
    <w:rsid w:val="005135C9"/>
    <w:rsid w:val="00520C19"/>
    <w:rsid w:val="00520F64"/>
    <w:rsid w:val="005214D9"/>
    <w:rsid w:val="00522BC8"/>
    <w:rsid w:val="0052313E"/>
    <w:rsid w:val="00524A92"/>
    <w:rsid w:val="00525119"/>
    <w:rsid w:val="0052551B"/>
    <w:rsid w:val="005260D3"/>
    <w:rsid w:val="00527EF1"/>
    <w:rsid w:val="00530519"/>
    <w:rsid w:val="00530DA3"/>
    <w:rsid w:val="00531119"/>
    <w:rsid w:val="005317FF"/>
    <w:rsid w:val="005335B6"/>
    <w:rsid w:val="005339F5"/>
    <w:rsid w:val="00536982"/>
    <w:rsid w:val="005369BD"/>
    <w:rsid w:val="00537006"/>
    <w:rsid w:val="00540C82"/>
    <w:rsid w:val="005458C9"/>
    <w:rsid w:val="0054625C"/>
    <w:rsid w:val="005472BD"/>
    <w:rsid w:val="005514AA"/>
    <w:rsid w:val="00551A6C"/>
    <w:rsid w:val="00551EF5"/>
    <w:rsid w:val="00551FE0"/>
    <w:rsid w:val="00552153"/>
    <w:rsid w:val="0055438A"/>
    <w:rsid w:val="00555410"/>
    <w:rsid w:val="005570D6"/>
    <w:rsid w:val="00557260"/>
    <w:rsid w:val="005577C9"/>
    <w:rsid w:val="00557BD3"/>
    <w:rsid w:val="00560F74"/>
    <w:rsid w:val="00561E0F"/>
    <w:rsid w:val="00562372"/>
    <w:rsid w:val="00562C81"/>
    <w:rsid w:val="00564D5B"/>
    <w:rsid w:val="005655F2"/>
    <w:rsid w:val="00565607"/>
    <w:rsid w:val="00567068"/>
    <w:rsid w:val="005678A4"/>
    <w:rsid w:val="00570745"/>
    <w:rsid w:val="00571C34"/>
    <w:rsid w:val="005723E3"/>
    <w:rsid w:val="00574D00"/>
    <w:rsid w:val="005761C7"/>
    <w:rsid w:val="00576793"/>
    <w:rsid w:val="00581F77"/>
    <w:rsid w:val="00586657"/>
    <w:rsid w:val="005873CA"/>
    <w:rsid w:val="005905CA"/>
    <w:rsid w:val="005919A7"/>
    <w:rsid w:val="00591F27"/>
    <w:rsid w:val="00593376"/>
    <w:rsid w:val="005937FA"/>
    <w:rsid w:val="005949C1"/>
    <w:rsid w:val="00594E21"/>
    <w:rsid w:val="005952B6"/>
    <w:rsid w:val="00595B34"/>
    <w:rsid w:val="00595BFD"/>
    <w:rsid w:val="00596BC7"/>
    <w:rsid w:val="005A0FDB"/>
    <w:rsid w:val="005A5B97"/>
    <w:rsid w:val="005A6953"/>
    <w:rsid w:val="005B113E"/>
    <w:rsid w:val="005B2802"/>
    <w:rsid w:val="005B48F2"/>
    <w:rsid w:val="005B493F"/>
    <w:rsid w:val="005B7565"/>
    <w:rsid w:val="005B77D8"/>
    <w:rsid w:val="005C0084"/>
    <w:rsid w:val="005C247D"/>
    <w:rsid w:val="005C3CD8"/>
    <w:rsid w:val="005C5132"/>
    <w:rsid w:val="005C6919"/>
    <w:rsid w:val="005C75C4"/>
    <w:rsid w:val="005D2CB1"/>
    <w:rsid w:val="005D407A"/>
    <w:rsid w:val="005D4349"/>
    <w:rsid w:val="005D7B04"/>
    <w:rsid w:val="005E3630"/>
    <w:rsid w:val="005E4427"/>
    <w:rsid w:val="005E4F0C"/>
    <w:rsid w:val="005E7A6D"/>
    <w:rsid w:val="005F0273"/>
    <w:rsid w:val="005F2183"/>
    <w:rsid w:val="005F75A3"/>
    <w:rsid w:val="005F7B42"/>
    <w:rsid w:val="006024B3"/>
    <w:rsid w:val="0060310F"/>
    <w:rsid w:val="00603548"/>
    <w:rsid w:val="00607C06"/>
    <w:rsid w:val="006145BE"/>
    <w:rsid w:val="0061597A"/>
    <w:rsid w:val="0061667F"/>
    <w:rsid w:val="00616A2B"/>
    <w:rsid w:val="00616BED"/>
    <w:rsid w:val="00617021"/>
    <w:rsid w:val="00617235"/>
    <w:rsid w:val="00617791"/>
    <w:rsid w:val="00622071"/>
    <w:rsid w:val="006226B2"/>
    <w:rsid w:val="0062341D"/>
    <w:rsid w:val="00627196"/>
    <w:rsid w:val="006311F4"/>
    <w:rsid w:val="0063121A"/>
    <w:rsid w:val="0063140E"/>
    <w:rsid w:val="0063185B"/>
    <w:rsid w:val="00632AD7"/>
    <w:rsid w:val="00634A47"/>
    <w:rsid w:val="006418A3"/>
    <w:rsid w:val="006442A7"/>
    <w:rsid w:val="00644A5B"/>
    <w:rsid w:val="006450AC"/>
    <w:rsid w:val="00645433"/>
    <w:rsid w:val="00646F46"/>
    <w:rsid w:val="0064776C"/>
    <w:rsid w:val="00650BB1"/>
    <w:rsid w:val="0065241B"/>
    <w:rsid w:val="0065248D"/>
    <w:rsid w:val="00653A5C"/>
    <w:rsid w:val="00655FCD"/>
    <w:rsid w:val="006561C8"/>
    <w:rsid w:val="00656611"/>
    <w:rsid w:val="00656AB0"/>
    <w:rsid w:val="006572A0"/>
    <w:rsid w:val="006579CB"/>
    <w:rsid w:val="00660CB9"/>
    <w:rsid w:val="00661388"/>
    <w:rsid w:val="00664ADE"/>
    <w:rsid w:val="0066573B"/>
    <w:rsid w:val="00665FCE"/>
    <w:rsid w:val="00666012"/>
    <w:rsid w:val="006666E1"/>
    <w:rsid w:val="00666DD6"/>
    <w:rsid w:val="00666F44"/>
    <w:rsid w:val="00667311"/>
    <w:rsid w:val="00667CDC"/>
    <w:rsid w:val="006701AD"/>
    <w:rsid w:val="00671AE5"/>
    <w:rsid w:val="00671D31"/>
    <w:rsid w:val="006726C9"/>
    <w:rsid w:val="0067308D"/>
    <w:rsid w:val="00673770"/>
    <w:rsid w:val="00673B96"/>
    <w:rsid w:val="00674441"/>
    <w:rsid w:val="006747AC"/>
    <w:rsid w:val="0067595A"/>
    <w:rsid w:val="00680347"/>
    <w:rsid w:val="00680CCF"/>
    <w:rsid w:val="00680DDE"/>
    <w:rsid w:val="0068195C"/>
    <w:rsid w:val="00681D50"/>
    <w:rsid w:val="00682D2E"/>
    <w:rsid w:val="0068315C"/>
    <w:rsid w:val="006831AF"/>
    <w:rsid w:val="006831E1"/>
    <w:rsid w:val="006838AF"/>
    <w:rsid w:val="00683E22"/>
    <w:rsid w:val="006878C7"/>
    <w:rsid w:val="00690767"/>
    <w:rsid w:val="0069101E"/>
    <w:rsid w:val="00691DD4"/>
    <w:rsid w:val="0069305D"/>
    <w:rsid w:val="00693EE3"/>
    <w:rsid w:val="00696D85"/>
    <w:rsid w:val="00697780"/>
    <w:rsid w:val="006A223D"/>
    <w:rsid w:val="006A25B8"/>
    <w:rsid w:val="006A4E6D"/>
    <w:rsid w:val="006A54A0"/>
    <w:rsid w:val="006A5ABE"/>
    <w:rsid w:val="006A6774"/>
    <w:rsid w:val="006A6C75"/>
    <w:rsid w:val="006B03B3"/>
    <w:rsid w:val="006B0F82"/>
    <w:rsid w:val="006B1071"/>
    <w:rsid w:val="006B29E1"/>
    <w:rsid w:val="006B3C45"/>
    <w:rsid w:val="006B457D"/>
    <w:rsid w:val="006B68DE"/>
    <w:rsid w:val="006B6C04"/>
    <w:rsid w:val="006B764D"/>
    <w:rsid w:val="006C1B98"/>
    <w:rsid w:val="006C20ED"/>
    <w:rsid w:val="006C37D2"/>
    <w:rsid w:val="006C3BC0"/>
    <w:rsid w:val="006C55A3"/>
    <w:rsid w:val="006C59A6"/>
    <w:rsid w:val="006C5BF3"/>
    <w:rsid w:val="006C755E"/>
    <w:rsid w:val="006C7DA2"/>
    <w:rsid w:val="006D329C"/>
    <w:rsid w:val="006D4775"/>
    <w:rsid w:val="006D5186"/>
    <w:rsid w:val="006D6901"/>
    <w:rsid w:val="006E03F4"/>
    <w:rsid w:val="006E080A"/>
    <w:rsid w:val="006E0BD7"/>
    <w:rsid w:val="006E19AC"/>
    <w:rsid w:val="006E20D9"/>
    <w:rsid w:val="006E3DA1"/>
    <w:rsid w:val="006E4A72"/>
    <w:rsid w:val="006E671A"/>
    <w:rsid w:val="006F019C"/>
    <w:rsid w:val="006F0E76"/>
    <w:rsid w:val="006F232E"/>
    <w:rsid w:val="006F3A69"/>
    <w:rsid w:val="006F3C6C"/>
    <w:rsid w:val="006F5120"/>
    <w:rsid w:val="006F765F"/>
    <w:rsid w:val="006F7A38"/>
    <w:rsid w:val="00701B34"/>
    <w:rsid w:val="00701C87"/>
    <w:rsid w:val="00703C23"/>
    <w:rsid w:val="00704A03"/>
    <w:rsid w:val="00704A47"/>
    <w:rsid w:val="00705660"/>
    <w:rsid w:val="00705C74"/>
    <w:rsid w:val="00706A03"/>
    <w:rsid w:val="007102F9"/>
    <w:rsid w:val="007104D3"/>
    <w:rsid w:val="007106A2"/>
    <w:rsid w:val="007114E7"/>
    <w:rsid w:val="00711854"/>
    <w:rsid w:val="00712ABB"/>
    <w:rsid w:val="007164B1"/>
    <w:rsid w:val="00717A36"/>
    <w:rsid w:val="00717DC2"/>
    <w:rsid w:val="007204C4"/>
    <w:rsid w:val="007249AE"/>
    <w:rsid w:val="00724E78"/>
    <w:rsid w:val="0072579F"/>
    <w:rsid w:val="0072675B"/>
    <w:rsid w:val="00727E27"/>
    <w:rsid w:val="00730F29"/>
    <w:rsid w:val="00731E15"/>
    <w:rsid w:val="00731F11"/>
    <w:rsid w:val="00732132"/>
    <w:rsid w:val="00732E59"/>
    <w:rsid w:val="00732E8C"/>
    <w:rsid w:val="00733919"/>
    <w:rsid w:val="00733E20"/>
    <w:rsid w:val="00734CDA"/>
    <w:rsid w:val="00734F65"/>
    <w:rsid w:val="0073512D"/>
    <w:rsid w:val="00736256"/>
    <w:rsid w:val="007372F6"/>
    <w:rsid w:val="007412F8"/>
    <w:rsid w:val="0074190E"/>
    <w:rsid w:val="00742D29"/>
    <w:rsid w:val="007436A3"/>
    <w:rsid w:val="00743967"/>
    <w:rsid w:val="00745828"/>
    <w:rsid w:val="0074698C"/>
    <w:rsid w:val="00746D65"/>
    <w:rsid w:val="0074709B"/>
    <w:rsid w:val="007518BD"/>
    <w:rsid w:val="00751E27"/>
    <w:rsid w:val="0075461C"/>
    <w:rsid w:val="00754897"/>
    <w:rsid w:val="007548B4"/>
    <w:rsid w:val="00754FAB"/>
    <w:rsid w:val="00756DA0"/>
    <w:rsid w:val="00756FCB"/>
    <w:rsid w:val="00760335"/>
    <w:rsid w:val="00760803"/>
    <w:rsid w:val="00760D42"/>
    <w:rsid w:val="0076238F"/>
    <w:rsid w:val="0076457C"/>
    <w:rsid w:val="00764A84"/>
    <w:rsid w:val="00764B7C"/>
    <w:rsid w:val="00765216"/>
    <w:rsid w:val="00765CF3"/>
    <w:rsid w:val="00767ADB"/>
    <w:rsid w:val="00767FD2"/>
    <w:rsid w:val="00771C12"/>
    <w:rsid w:val="007727C7"/>
    <w:rsid w:val="00772812"/>
    <w:rsid w:val="0077290C"/>
    <w:rsid w:val="00772BC1"/>
    <w:rsid w:val="00773559"/>
    <w:rsid w:val="00773688"/>
    <w:rsid w:val="0077413C"/>
    <w:rsid w:val="00775A34"/>
    <w:rsid w:val="00776CE5"/>
    <w:rsid w:val="00780E7C"/>
    <w:rsid w:val="0078126C"/>
    <w:rsid w:val="007823A1"/>
    <w:rsid w:val="007823FD"/>
    <w:rsid w:val="0078465E"/>
    <w:rsid w:val="007847D7"/>
    <w:rsid w:val="00785338"/>
    <w:rsid w:val="00785595"/>
    <w:rsid w:val="00785EAA"/>
    <w:rsid w:val="007906EC"/>
    <w:rsid w:val="00791D65"/>
    <w:rsid w:val="007924CC"/>
    <w:rsid w:val="0079337E"/>
    <w:rsid w:val="00793684"/>
    <w:rsid w:val="00793E7C"/>
    <w:rsid w:val="007A283D"/>
    <w:rsid w:val="007A43F7"/>
    <w:rsid w:val="007A510C"/>
    <w:rsid w:val="007A6C61"/>
    <w:rsid w:val="007B0254"/>
    <w:rsid w:val="007B065F"/>
    <w:rsid w:val="007B0669"/>
    <w:rsid w:val="007B132C"/>
    <w:rsid w:val="007B16A8"/>
    <w:rsid w:val="007B2CBE"/>
    <w:rsid w:val="007B46B5"/>
    <w:rsid w:val="007B581A"/>
    <w:rsid w:val="007B5BC8"/>
    <w:rsid w:val="007B6526"/>
    <w:rsid w:val="007B6987"/>
    <w:rsid w:val="007C2A40"/>
    <w:rsid w:val="007C3873"/>
    <w:rsid w:val="007C6024"/>
    <w:rsid w:val="007C6431"/>
    <w:rsid w:val="007C78DD"/>
    <w:rsid w:val="007D02AA"/>
    <w:rsid w:val="007D1F6C"/>
    <w:rsid w:val="007D32F7"/>
    <w:rsid w:val="007D3449"/>
    <w:rsid w:val="007D6516"/>
    <w:rsid w:val="007D67CD"/>
    <w:rsid w:val="007E0676"/>
    <w:rsid w:val="007E096C"/>
    <w:rsid w:val="007E0EE2"/>
    <w:rsid w:val="007E270E"/>
    <w:rsid w:val="007E3B03"/>
    <w:rsid w:val="007E4D7B"/>
    <w:rsid w:val="007E526B"/>
    <w:rsid w:val="007E5E80"/>
    <w:rsid w:val="007E71A3"/>
    <w:rsid w:val="007E7549"/>
    <w:rsid w:val="007F0356"/>
    <w:rsid w:val="007F2561"/>
    <w:rsid w:val="007F33C3"/>
    <w:rsid w:val="007F4940"/>
    <w:rsid w:val="007F5071"/>
    <w:rsid w:val="007F59EC"/>
    <w:rsid w:val="007F772E"/>
    <w:rsid w:val="007F7EDE"/>
    <w:rsid w:val="007F7FBB"/>
    <w:rsid w:val="0080016F"/>
    <w:rsid w:val="00800B05"/>
    <w:rsid w:val="00802745"/>
    <w:rsid w:val="00802A83"/>
    <w:rsid w:val="00803A98"/>
    <w:rsid w:val="00804B3A"/>
    <w:rsid w:val="00805214"/>
    <w:rsid w:val="0080791E"/>
    <w:rsid w:val="00807D2B"/>
    <w:rsid w:val="00810087"/>
    <w:rsid w:val="0081124F"/>
    <w:rsid w:val="008112D9"/>
    <w:rsid w:val="008121E9"/>
    <w:rsid w:val="00816065"/>
    <w:rsid w:val="00817373"/>
    <w:rsid w:val="008206E1"/>
    <w:rsid w:val="008213A2"/>
    <w:rsid w:val="00821826"/>
    <w:rsid w:val="00821BCF"/>
    <w:rsid w:val="00821DF6"/>
    <w:rsid w:val="00822104"/>
    <w:rsid w:val="008222FD"/>
    <w:rsid w:val="0082720D"/>
    <w:rsid w:val="008277D5"/>
    <w:rsid w:val="00827A31"/>
    <w:rsid w:val="00827E6C"/>
    <w:rsid w:val="00831140"/>
    <w:rsid w:val="00831E4F"/>
    <w:rsid w:val="00832C86"/>
    <w:rsid w:val="00833103"/>
    <w:rsid w:val="00833218"/>
    <w:rsid w:val="008335F3"/>
    <w:rsid w:val="00835A7F"/>
    <w:rsid w:val="00840DF2"/>
    <w:rsid w:val="008413C1"/>
    <w:rsid w:val="00841DFC"/>
    <w:rsid w:val="00842BC0"/>
    <w:rsid w:val="00844226"/>
    <w:rsid w:val="0084556A"/>
    <w:rsid w:val="00845DE7"/>
    <w:rsid w:val="00846804"/>
    <w:rsid w:val="00847F02"/>
    <w:rsid w:val="008506F1"/>
    <w:rsid w:val="00851744"/>
    <w:rsid w:val="00851AE6"/>
    <w:rsid w:val="00852352"/>
    <w:rsid w:val="008528A5"/>
    <w:rsid w:val="008530AB"/>
    <w:rsid w:val="00853944"/>
    <w:rsid w:val="00853B67"/>
    <w:rsid w:val="00860624"/>
    <w:rsid w:val="00862372"/>
    <w:rsid w:val="008639DA"/>
    <w:rsid w:val="00864142"/>
    <w:rsid w:val="00864A39"/>
    <w:rsid w:val="00864B50"/>
    <w:rsid w:val="00865107"/>
    <w:rsid w:val="008652AA"/>
    <w:rsid w:val="008676FF"/>
    <w:rsid w:val="008710AE"/>
    <w:rsid w:val="00871A7D"/>
    <w:rsid w:val="008734D7"/>
    <w:rsid w:val="00873A2A"/>
    <w:rsid w:val="00873FFF"/>
    <w:rsid w:val="008741A4"/>
    <w:rsid w:val="00875F1A"/>
    <w:rsid w:val="00876FCA"/>
    <w:rsid w:val="00877B0C"/>
    <w:rsid w:val="00880E4D"/>
    <w:rsid w:val="008811F8"/>
    <w:rsid w:val="00881983"/>
    <w:rsid w:val="00882235"/>
    <w:rsid w:val="00883F8D"/>
    <w:rsid w:val="008841DD"/>
    <w:rsid w:val="0088484F"/>
    <w:rsid w:val="008849B0"/>
    <w:rsid w:val="00886D6F"/>
    <w:rsid w:val="00886FBC"/>
    <w:rsid w:val="00887518"/>
    <w:rsid w:val="00887723"/>
    <w:rsid w:val="00890686"/>
    <w:rsid w:val="00891C80"/>
    <w:rsid w:val="00893F4B"/>
    <w:rsid w:val="0089579B"/>
    <w:rsid w:val="00896405"/>
    <w:rsid w:val="00896497"/>
    <w:rsid w:val="008A1316"/>
    <w:rsid w:val="008A64B2"/>
    <w:rsid w:val="008B002E"/>
    <w:rsid w:val="008B0647"/>
    <w:rsid w:val="008B077C"/>
    <w:rsid w:val="008B1286"/>
    <w:rsid w:val="008B2CC5"/>
    <w:rsid w:val="008B3261"/>
    <w:rsid w:val="008B52AC"/>
    <w:rsid w:val="008B6199"/>
    <w:rsid w:val="008C0D70"/>
    <w:rsid w:val="008C11AB"/>
    <w:rsid w:val="008C2CF1"/>
    <w:rsid w:val="008C3115"/>
    <w:rsid w:val="008C3253"/>
    <w:rsid w:val="008C3D10"/>
    <w:rsid w:val="008C5BAB"/>
    <w:rsid w:val="008C6E87"/>
    <w:rsid w:val="008C6FD4"/>
    <w:rsid w:val="008C7957"/>
    <w:rsid w:val="008C7EE2"/>
    <w:rsid w:val="008D1010"/>
    <w:rsid w:val="008D1174"/>
    <w:rsid w:val="008D5B53"/>
    <w:rsid w:val="008E120F"/>
    <w:rsid w:val="008E15F3"/>
    <w:rsid w:val="008E28F9"/>
    <w:rsid w:val="008E2C20"/>
    <w:rsid w:val="008E37D4"/>
    <w:rsid w:val="008E3F8D"/>
    <w:rsid w:val="008E4DF6"/>
    <w:rsid w:val="008E4EC7"/>
    <w:rsid w:val="008E5997"/>
    <w:rsid w:val="008E6C81"/>
    <w:rsid w:val="008F069A"/>
    <w:rsid w:val="008F17A9"/>
    <w:rsid w:val="008F372F"/>
    <w:rsid w:val="008F3865"/>
    <w:rsid w:val="008F497D"/>
    <w:rsid w:val="008F58C8"/>
    <w:rsid w:val="008F6045"/>
    <w:rsid w:val="008F756F"/>
    <w:rsid w:val="00900A51"/>
    <w:rsid w:val="00900E9D"/>
    <w:rsid w:val="00901484"/>
    <w:rsid w:val="009016CA"/>
    <w:rsid w:val="00903517"/>
    <w:rsid w:val="009048BC"/>
    <w:rsid w:val="0090533D"/>
    <w:rsid w:val="009057E3"/>
    <w:rsid w:val="009065DF"/>
    <w:rsid w:val="00907706"/>
    <w:rsid w:val="00911822"/>
    <w:rsid w:val="00911ABD"/>
    <w:rsid w:val="00916281"/>
    <w:rsid w:val="00916634"/>
    <w:rsid w:val="009167F6"/>
    <w:rsid w:val="00920543"/>
    <w:rsid w:val="0092103D"/>
    <w:rsid w:val="00921AE1"/>
    <w:rsid w:val="00922253"/>
    <w:rsid w:val="00922C01"/>
    <w:rsid w:val="009230FB"/>
    <w:rsid w:val="00925404"/>
    <w:rsid w:val="00927F50"/>
    <w:rsid w:val="009335A9"/>
    <w:rsid w:val="009338A7"/>
    <w:rsid w:val="00937E16"/>
    <w:rsid w:val="00937ED8"/>
    <w:rsid w:val="00940704"/>
    <w:rsid w:val="00941FD3"/>
    <w:rsid w:val="00942479"/>
    <w:rsid w:val="009449B7"/>
    <w:rsid w:val="0094616B"/>
    <w:rsid w:val="009502B4"/>
    <w:rsid w:val="00950809"/>
    <w:rsid w:val="00951A6B"/>
    <w:rsid w:val="00951AC4"/>
    <w:rsid w:val="00951C01"/>
    <w:rsid w:val="00952E8B"/>
    <w:rsid w:val="00953816"/>
    <w:rsid w:val="00955A75"/>
    <w:rsid w:val="00955C87"/>
    <w:rsid w:val="0095736B"/>
    <w:rsid w:val="009574AC"/>
    <w:rsid w:val="00957CD4"/>
    <w:rsid w:val="00960F1E"/>
    <w:rsid w:val="0096133C"/>
    <w:rsid w:val="009616A5"/>
    <w:rsid w:val="009628AD"/>
    <w:rsid w:val="00964650"/>
    <w:rsid w:val="009654B8"/>
    <w:rsid w:val="00970265"/>
    <w:rsid w:val="00971023"/>
    <w:rsid w:val="00971D39"/>
    <w:rsid w:val="00972B0B"/>
    <w:rsid w:val="00973529"/>
    <w:rsid w:val="00973D60"/>
    <w:rsid w:val="0097672E"/>
    <w:rsid w:val="009768BC"/>
    <w:rsid w:val="009776EA"/>
    <w:rsid w:val="00977CF5"/>
    <w:rsid w:val="00984222"/>
    <w:rsid w:val="00984CC9"/>
    <w:rsid w:val="009850C2"/>
    <w:rsid w:val="00985985"/>
    <w:rsid w:val="00987D12"/>
    <w:rsid w:val="0099184F"/>
    <w:rsid w:val="009920D1"/>
    <w:rsid w:val="0099295E"/>
    <w:rsid w:val="00993428"/>
    <w:rsid w:val="00996AD8"/>
    <w:rsid w:val="00996EA8"/>
    <w:rsid w:val="00997155"/>
    <w:rsid w:val="009A0F57"/>
    <w:rsid w:val="009A191C"/>
    <w:rsid w:val="009A2120"/>
    <w:rsid w:val="009A2BED"/>
    <w:rsid w:val="009A3276"/>
    <w:rsid w:val="009A3FB6"/>
    <w:rsid w:val="009A50AE"/>
    <w:rsid w:val="009A6ECC"/>
    <w:rsid w:val="009B07A9"/>
    <w:rsid w:val="009B08D4"/>
    <w:rsid w:val="009B15C6"/>
    <w:rsid w:val="009B1BB6"/>
    <w:rsid w:val="009B20AA"/>
    <w:rsid w:val="009B2B18"/>
    <w:rsid w:val="009B3AE7"/>
    <w:rsid w:val="009C07F9"/>
    <w:rsid w:val="009C2C41"/>
    <w:rsid w:val="009C4064"/>
    <w:rsid w:val="009C4224"/>
    <w:rsid w:val="009C6F56"/>
    <w:rsid w:val="009D2991"/>
    <w:rsid w:val="009D35EC"/>
    <w:rsid w:val="009D5E35"/>
    <w:rsid w:val="009D5EC4"/>
    <w:rsid w:val="009D5F8E"/>
    <w:rsid w:val="009E1C1D"/>
    <w:rsid w:val="009E2EA4"/>
    <w:rsid w:val="009E3219"/>
    <w:rsid w:val="009E45DC"/>
    <w:rsid w:val="009E477B"/>
    <w:rsid w:val="009E4803"/>
    <w:rsid w:val="009E57B8"/>
    <w:rsid w:val="009E5CB5"/>
    <w:rsid w:val="009E75A2"/>
    <w:rsid w:val="009F3AE7"/>
    <w:rsid w:val="009F3CF4"/>
    <w:rsid w:val="009F647F"/>
    <w:rsid w:val="009F6CA6"/>
    <w:rsid w:val="00A0032A"/>
    <w:rsid w:val="00A00BD2"/>
    <w:rsid w:val="00A01919"/>
    <w:rsid w:val="00A0210B"/>
    <w:rsid w:val="00A025E5"/>
    <w:rsid w:val="00A02FE8"/>
    <w:rsid w:val="00A04AEF"/>
    <w:rsid w:val="00A04DBE"/>
    <w:rsid w:val="00A0616B"/>
    <w:rsid w:val="00A06590"/>
    <w:rsid w:val="00A06B6E"/>
    <w:rsid w:val="00A06BB9"/>
    <w:rsid w:val="00A07139"/>
    <w:rsid w:val="00A1014A"/>
    <w:rsid w:val="00A108AE"/>
    <w:rsid w:val="00A10E51"/>
    <w:rsid w:val="00A119AE"/>
    <w:rsid w:val="00A13FC5"/>
    <w:rsid w:val="00A14008"/>
    <w:rsid w:val="00A14516"/>
    <w:rsid w:val="00A15ADE"/>
    <w:rsid w:val="00A2103B"/>
    <w:rsid w:val="00A237AA"/>
    <w:rsid w:val="00A237E1"/>
    <w:rsid w:val="00A2392E"/>
    <w:rsid w:val="00A24397"/>
    <w:rsid w:val="00A2562A"/>
    <w:rsid w:val="00A2756F"/>
    <w:rsid w:val="00A3021F"/>
    <w:rsid w:val="00A30269"/>
    <w:rsid w:val="00A3234C"/>
    <w:rsid w:val="00A32E34"/>
    <w:rsid w:val="00A333DD"/>
    <w:rsid w:val="00A33693"/>
    <w:rsid w:val="00A3423B"/>
    <w:rsid w:val="00A358F8"/>
    <w:rsid w:val="00A3621C"/>
    <w:rsid w:val="00A3729C"/>
    <w:rsid w:val="00A37B93"/>
    <w:rsid w:val="00A40A24"/>
    <w:rsid w:val="00A413A0"/>
    <w:rsid w:val="00A41E14"/>
    <w:rsid w:val="00A42534"/>
    <w:rsid w:val="00A426D4"/>
    <w:rsid w:val="00A43F3F"/>
    <w:rsid w:val="00A440C1"/>
    <w:rsid w:val="00A45823"/>
    <w:rsid w:val="00A464FA"/>
    <w:rsid w:val="00A4695D"/>
    <w:rsid w:val="00A505C8"/>
    <w:rsid w:val="00A51709"/>
    <w:rsid w:val="00A54A2F"/>
    <w:rsid w:val="00A55876"/>
    <w:rsid w:val="00A562D4"/>
    <w:rsid w:val="00A56497"/>
    <w:rsid w:val="00A57FBA"/>
    <w:rsid w:val="00A60855"/>
    <w:rsid w:val="00A62764"/>
    <w:rsid w:val="00A66144"/>
    <w:rsid w:val="00A673D4"/>
    <w:rsid w:val="00A702E8"/>
    <w:rsid w:val="00A709A2"/>
    <w:rsid w:val="00A735EF"/>
    <w:rsid w:val="00A73AF8"/>
    <w:rsid w:val="00A73B1E"/>
    <w:rsid w:val="00A7491B"/>
    <w:rsid w:val="00A76D1E"/>
    <w:rsid w:val="00A82044"/>
    <w:rsid w:val="00A824BE"/>
    <w:rsid w:val="00A82B0B"/>
    <w:rsid w:val="00A82C85"/>
    <w:rsid w:val="00A841CB"/>
    <w:rsid w:val="00A84995"/>
    <w:rsid w:val="00A84FAA"/>
    <w:rsid w:val="00A86F34"/>
    <w:rsid w:val="00A87920"/>
    <w:rsid w:val="00A922F0"/>
    <w:rsid w:val="00A93D90"/>
    <w:rsid w:val="00A95021"/>
    <w:rsid w:val="00A952BE"/>
    <w:rsid w:val="00A95BCD"/>
    <w:rsid w:val="00A9656F"/>
    <w:rsid w:val="00A96FFF"/>
    <w:rsid w:val="00A974B2"/>
    <w:rsid w:val="00AA0410"/>
    <w:rsid w:val="00AA0672"/>
    <w:rsid w:val="00AA0C71"/>
    <w:rsid w:val="00AA1090"/>
    <w:rsid w:val="00AA269A"/>
    <w:rsid w:val="00AA32AF"/>
    <w:rsid w:val="00AA512E"/>
    <w:rsid w:val="00AB0514"/>
    <w:rsid w:val="00AB1142"/>
    <w:rsid w:val="00AB2219"/>
    <w:rsid w:val="00AB27DD"/>
    <w:rsid w:val="00AB2D95"/>
    <w:rsid w:val="00AB3B93"/>
    <w:rsid w:val="00AB4161"/>
    <w:rsid w:val="00AB5456"/>
    <w:rsid w:val="00AB55E2"/>
    <w:rsid w:val="00AB6878"/>
    <w:rsid w:val="00AB6FE6"/>
    <w:rsid w:val="00AC01F2"/>
    <w:rsid w:val="00AC17B9"/>
    <w:rsid w:val="00AC3CE8"/>
    <w:rsid w:val="00AC47AD"/>
    <w:rsid w:val="00AC523B"/>
    <w:rsid w:val="00AD079A"/>
    <w:rsid w:val="00AD2246"/>
    <w:rsid w:val="00AD585B"/>
    <w:rsid w:val="00AD7387"/>
    <w:rsid w:val="00AD7C05"/>
    <w:rsid w:val="00AD7F8D"/>
    <w:rsid w:val="00AE19B7"/>
    <w:rsid w:val="00AE1C3E"/>
    <w:rsid w:val="00AE2865"/>
    <w:rsid w:val="00AE2FA4"/>
    <w:rsid w:val="00AE3167"/>
    <w:rsid w:val="00AE3EC4"/>
    <w:rsid w:val="00AE4FEB"/>
    <w:rsid w:val="00AE7357"/>
    <w:rsid w:val="00AF2984"/>
    <w:rsid w:val="00AF329F"/>
    <w:rsid w:val="00AF525A"/>
    <w:rsid w:val="00AF6D89"/>
    <w:rsid w:val="00AF7012"/>
    <w:rsid w:val="00AF760C"/>
    <w:rsid w:val="00AF7783"/>
    <w:rsid w:val="00B0019C"/>
    <w:rsid w:val="00B009BB"/>
    <w:rsid w:val="00B02377"/>
    <w:rsid w:val="00B061E8"/>
    <w:rsid w:val="00B103A9"/>
    <w:rsid w:val="00B106BB"/>
    <w:rsid w:val="00B12DAE"/>
    <w:rsid w:val="00B13DEE"/>
    <w:rsid w:val="00B13FD4"/>
    <w:rsid w:val="00B161ED"/>
    <w:rsid w:val="00B16F64"/>
    <w:rsid w:val="00B1747F"/>
    <w:rsid w:val="00B24A6E"/>
    <w:rsid w:val="00B30481"/>
    <w:rsid w:val="00B30C60"/>
    <w:rsid w:val="00B3257D"/>
    <w:rsid w:val="00B3316E"/>
    <w:rsid w:val="00B34F08"/>
    <w:rsid w:val="00B36324"/>
    <w:rsid w:val="00B36DBE"/>
    <w:rsid w:val="00B37265"/>
    <w:rsid w:val="00B37F2A"/>
    <w:rsid w:val="00B40B49"/>
    <w:rsid w:val="00B411FB"/>
    <w:rsid w:val="00B4141C"/>
    <w:rsid w:val="00B42B5E"/>
    <w:rsid w:val="00B473CC"/>
    <w:rsid w:val="00B50551"/>
    <w:rsid w:val="00B50C07"/>
    <w:rsid w:val="00B51B42"/>
    <w:rsid w:val="00B51C1A"/>
    <w:rsid w:val="00B52368"/>
    <w:rsid w:val="00B56037"/>
    <w:rsid w:val="00B64AF0"/>
    <w:rsid w:val="00B65698"/>
    <w:rsid w:val="00B66AFB"/>
    <w:rsid w:val="00B66D23"/>
    <w:rsid w:val="00B66FC7"/>
    <w:rsid w:val="00B7027D"/>
    <w:rsid w:val="00B708BF"/>
    <w:rsid w:val="00B71215"/>
    <w:rsid w:val="00B731D2"/>
    <w:rsid w:val="00B73ADF"/>
    <w:rsid w:val="00B764E4"/>
    <w:rsid w:val="00B80105"/>
    <w:rsid w:val="00B80D53"/>
    <w:rsid w:val="00B80FD6"/>
    <w:rsid w:val="00B81A90"/>
    <w:rsid w:val="00B827B7"/>
    <w:rsid w:val="00B917D5"/>
    <w:rsid w:val="00B91E98"/>
    <w:rsid w:val="00B921E8"/>
    <w:rsid w:val="00B926E5"/>
    <w:rsid w:val="00B93273"/>
    <w:rsid w:val="00B93C6F"/>
    <w:rsid w:val="00B94829"/>
    <w:rsid w:val="00B95889"/>
    <w:rsid w:val="00B96B16"/>
    <w:rsid w:val="00BA0AE0"/>
    <w:rsid w:val="00BA29F2"/>
    <w:rsid w:val="00BA57CC"/>
    <w:rsid w:val="00BA58F7"/>
    <w:rsid w:val="00BA757C"/>
    <w:rsid w:val="00BB0454"/>
    <w:rsid w:val="00BB26A5"/>
    <w:rsid w:val="00BB2E64"/>
    <w:rsid w:val="00BB5A25"/>
    <w:rsid w:val="00BB6F77"/>
    <w:rsid w:val="00BC251D"/>
    <w:rsid w:val="00BC56F8"/>
    <w:rsid w:val="00BC799F"/>
    <w:rsid w:val="00BC7AEB"/>
    <w:rsid w:val="00BD0D56"/>
    <w:rsid w:val="00BD15B8"/>
    <w:rsid w:val="00BD1F4D"/>
    <w:rsid w:val="00BD2E28"/>
    <w:rsid w:val="00BD335C"/>
    <w:rsid w:val="00BD50DC"/>
    <w:rsid w:val="00BD74D0"/>
    <w:rsid w:val="00BD7D60"/>
    <w:rsid w:val="00BE1630"/>
    <w:rsid w:val="00BE33D7"/>
    <w:rsid w:val="00BE5C7E"/>
    <w:rsid w:val="00BF19DB"/>
    <w:rsid w:val="00BF1D40"/>
    <w:rsid w:val="00BF3357"/>
    <w:rsid w:val="00BF3B32"/>
    <w:rsid w:val="00BF5A25"/>
    <w:rsid w:val="00BF62C7"/>
    <w:rsid w:val="00BF7481"/>
    <w:rsid w:val="00BF7E75"/>
    <w:rsid w:val="00C00344"/>
    <w:rsid w:val="00C021BE"/>
    <w:rsid w:val="00C0221E"/>
    <w:rsid w:val="00C02E34"/>
    <w:rsid w:val="00C03322"/>
    <w:rsid w:val="00C0504A"/>
    <w:rsid w:val="00C07BDA"/>
    <w:rsid w:val="00C07D5F"/>
    <w:rsid w:val="00C12736"/>
    <w:rsid w:val="00C13B25"/>
    <w:rsid w:val="00C1425C"/>
    <w:rsid w:val="00C15135"/>
    <w:rsid w:val="00C160E7"/>
    <w:rsid w:val="00C173CF"/>
    <w:rsid w:val="00C17779"/>
    <w:rsid w:val="00C17992"/>
    <w:rsid w:val="00C20025"/>
    <w:rsid w:val="00C20400"/>
    <w:rsid w:val="00C211C2"/>
    <w:rsid w:val="00C21CC9"/>
    <w:rsid w:val="00C24417"/>
    <w:rsid w:val="00C272CA"/>
    <w:rsid w:val="00C27F0C"/>
    <w:rsid w:val="00C30748"/>
    <w:rsid w:val="00C31D06"/>
    <w:rsid w:val="00C32CEE"/>
    <w:rsid w:val="00C33E78"/>
    <w:rsid w:val="00C34239"/>
    <w:rsid w:val="00C365D9"/>
    <w:rsid w:val="00C438DC"/>
    <w:rsid w:val="00C43E31"/>
    <w:rsid w:val="00C4405B"/>
    <w:rsid w:val="00C459CE"/>
    <w:rsid w:val="00C46F9F"/>
    <w:rsid w:val="00C50B68"/>
    <w:rsid w:val="00C5273A"/>
    <w:rsid w:val="00C52766"/>
    <w:rsid w:val="00C529CF"/>
    <w:rsid w:val="00C52D68"/>
    <w:rsid w:val="00C5492E"/>
    <w:rsid w:val="00C55E74"/>
    <w:rsid w:val="00C57D20"/>
    <w:rsid w:val="00C57F04"/>
    <w:rsid w:val="00C6061D"/>
    <w:rsid w:val="00C61365"/>
    <w:rsid w:val="00C61D76"/>
    <w:rsid w:val="00C623F0"/>
    <w:rsid w:val="00C63A4F"/>
    <w:rsid w:val="00C64A68"/>
    <w:rsid w:val="00C64B19"/>
    <w:rsid w:val="00C64B2A"/>
    <w:rsid w:val="00C65830"/>
    <w:rsid w:val="00C66243"/>
    <w:rsid w:val="00C6697C"/>
    <w:rsid w:val="00C673C8"/>
    <w:rsid w:val="00C70EF7"/>
    <w:rsid w:val="00C7266F"/>
    <w:rsid w:val="00C72921"/>
    <w:rsid w:val="00C72C40"/>
    <w:rsid w:val="00C73CC0"/>
    <w:rsid w:val="00C73E7A"/>
    <w:rsid w:val="00C76820"/>
    <w:rsid w:val="00C771D8"/>
    <w:rsid w:val="00C7771B"/>
    <w:rsid w:val="00C807B3"/>
    <w:rsid w:val="00C81384"/>
    <w:rsid w:val="00C81D33"/>
    <w:rsid w:val="00C8249B"/>
    <w:rsid w:val="00C82C7D"/>
    <w:rsid w:val="00C833C2"/>
    <w:rsid w:val="00C83E09"/>
    <w:rsid w:val="00C84ADF"/>
    <w:rsid w:val="00C85EED"/>
    <w:rsid w:val="00C9255F"/>
    <w:rsid w:val="00C92D80"/>
    <w:rsid w:val="00C93003"/>
    <w:rsid w:val="00C9358D"/>
    <w:rsid w:val="00C94559"/>
    <w:rsid w:val="00C9471D"/>
    <w:rsid w:val="00C958E6"/>
    <w:rsid w:val="00C96021"/>
    <w:rsid w:val="00CA14BB"/>
    <w:rsid w:val="00CA23AE"/>
    <w:rsid w:val="00CA3720"/>
    <w:rsid w:val="00CA3D17"/>
    <w:rsid w:val="00CA57D3"/>
    <w:rsid w:val="00CA722B"/>
    <w:rsid w:val="00CA78BC"/>
    <w:rsid w:val="00CB12BB"/>
    <w:rsid w:val="00CB438C"/>
    <w:rsid w:val="00CB4B26"/>
    <w:rsid w:val="00CB5C88"/>
    <w:rsid w:val="00CB5F96"/>
    <w:rsid w:val="00CB6042"/>
    <w:rsid w:val="00CC0CBD"/>
    <w:rsid w:val="00CC13C3"/>
    <w:rsid w:val="00CC3598"/>
    <w:rsid w:val="00CC479C"/>
    <w:rsid w:val="00CC7102"/>
    <w:rsid w:val="00CD0D7B"/>
    <w:rsid w:val="00CD2043"/>
    <w:rsid w:val="00CD2401"/>
    <w:rsid w:val="00CD34E8"/>
    <w:rsid w:val="00CD3620"/>
    <w:rsid w:val="00CD3B91"/>
    <w:rsid w:val="00CD3C82"/>
    <w:rsid w:val="00CD44DD"/>
    <w:rsid w:val="00CD55B1"/>
    <w:rsid w:val="00CD66FA"/>
    <w:rsid w:val="00CE11AF"/>
    <w:rsid w:val="00CE2C65"/>
    <w:rsid w:val="00CE4CEE"/>
    <w:rsid w:val="00CE5340"/>
    <w:rsid w:val="00CE5CEB"/>
    <w:rsid w:val="00CF0955"/>
    <w:rsid w:val="00CF1A62"/>
    <w:rsid w:val="00CF264A"/>
    <w:rsid w:val="00CF513C"/>
    <w:rsid w:val="00CF6B79"/>
    <w:rsid w:val="00D002EB"/>
    <w:rsid w:val="00D025E7"/>
    <w:rsid w:val="00D05963"/>
    <w:rsid w:val="00D06E92"/>
    <w:rsid w:val="00D10098"/>
    <w:rsid w:val="00D13E21"/>
    <w:rsid w:val="00D1410E"/>
    <w:rsid w:val="00D145E7"/>
    <w:rsid w:val="00D14853"/>
    <w:rsid w:val="00D15414"/>
    <w:rsid w:val="00D15FBD"/>
    <w:rsid w:val="00D20110"/>
    <w:rsid w:val="00D20540"/>
    <w:rsid w:val="00D242B7"/>
    <w:rsid w:val="00D25A69"/>
    <w:rsid w:val="00D25E15"/>
    <w:rsid w:val="00D26E20"/>
    <w:rsid w:val="00D26EFD"/>
    <w:rsid w:val="00D305A3"/>
    <w:rsid w:val="00D31ECE"/>
    <w:rsid w:val="00D31F34"/>
    <w:rsid w:val="00D336C7"/>
    <w:rsid w:val="00D33EFE"/>
    <w:rsid w:val="00D348C1"/>
    <w:rsid w:val="00D3585C"/>
    <w:rsid w:val="00D368AD"/>
    <w:rsid w:val="00D36D7D"/>
    <w:rsid w:val="00D36E5F"/>
    <w:rsid w:val="00D42004"/>
    <w:rsid w:val="00D4359B"/>
    <w:rsid w:val="00D4474A"/>
    <w:rsid w:val="00D45719"/>
    <w:rsid w:val="00D45893"/>
    <w:rsid w:val="00D46A3D"/>
    <w:rsid w:val="00D500D9"/>
    <w:rsid w:val="00D52347"/>
    <w:rsid w:val="00D55007"/>
    <w:rsid w:val="00D55E97"/>
    <w:rsid w:val="00D56532"/>
    <w:rsid w:val="00D56BB3"/>
    <w:rsid w:val="00D60938"/>
    <w:rsid w:val="00D60D3B"/>
    <w:rsid w:val="00D60F5F"/>
    <w:rsid w:val="00D61BE2"/>
    <w:rsid w:val="00D641A8"/>
    <w:rsid w:val="00D6505C"/>
    <w:rsid w:val="00D66602"/>
    <w:rsid w:val="00D67C40"/>
    <w:rsid w:val="00D67E9F"/>
    <w:rsid w:val="00D741AB"/>
    <w:rsid w:val="00D74B5E"/>
    <w:rsid w:val="00D754E1"/>
    <w:rsid w:val="00D759C4"/>
    <w:rsid w:val="00D76919"/>
    <w:rsid w:val="00D805F3"/>
    <w:rsid w:val="00D811AF"/>
    <w:rsid w:val="00D814F0"/>
    <w:rsid w:val="00D81B7F"/>
    <w:rsid w:val="00D82595"/>
    <w:rsid w:val="00D82829"/>
    <w:rsid w:val="00D835B7"/>
    <w:rsid w:val="00D85755"/>
    <w:rsid w:val="00D85F61"/>
    <w:rsid w:val="00D86163"/>
    <w:rsid w:val="00D86653"/>
    <w:rsid w:val="00D8679F"/>
    <w:rsid w:val="00D9029A"/>
    <w:rsid w:val="00D92F85"/>
    <w:rsid w:val="00D93748"/>
    <w:rsid w:val="00D94232"/>
    <w:rsid w:val="00D95540"/>
    <w:rsid w:val="00D97E7D"/>
    <w:rsid w:val="00DA0139"/>
    <w:rsid w:val="00DA16E4"/>
    <w:rsid w:val="00DA1B1A"/>
    <w:rsid w:val="00DA1B62"/>
    <w:rsid w:val="00DA2D3A"/>
    <w:rsid w:val="00DA4F05"/>
    <w:rsid w:val="00DB0499"/>
    <w:rsid w:val="00DB06E4"/>
    <w:rsid w:val="00DB0C4F"/>
    <w:rsid w:val="00DB3EAA"/>
    <w:rsid w:val="00DB458A"/>
    <w:rsid w:val="00DB50C7"/>
    <w:rsid w:val="00DB54F6"/>
    <w:rsid w:val="00DB797D"/>
    <w:rsid w:val="00DC0F63"/>
    <w:rsid w:val="00DC198F"/>
    <w:rsid w:val="00DC4904"/>
    <w:rsid w:val="00DC5C3A"/>
    <w:rsid w:val="00DD04C6"/>
    <w:rsid w:val="00DD0E8E"/>
    <w:rsid w:val="00DD1D5E"/>
    <w:rsid w:val="00DD24BC"/>
    <w:rsid w:val="00DD2A20"/>
    <w:rsid w:val="00DD3BF6"/>
    <w:rsid w:val="00DD611A"/>
    <w:rsid w:val="00DD6944"/>
    <w:rsid w:val="00DD7475"/>
    <w:rsid w:val="00DE0668"/>
    <w:rsid w:val="00DE1122"/>
    <w:rsid w:val="00DE243F"/>
    <w:rsid w:val="00DE30AF"/>
    <w:rsid w:val="00DE3F78"/>
    <w:rsid w:val="00DE416A"/>
    <w:rsid w:val="00DE41A7"/>
    <w:rsid w:val="00DE4600"/>
    <w:rsid w:val="00DE4E6D"/>
    <w:rsid w:val="00DE7B21"/>
    <w:rsid w:val="00DF07DE"/>
    <w:rsid w:val="00DF0B03"/>
    <w:rsid w:val="00DF32C6"/>
    <w:rsid w:val="00DF5325"/>
    <w:rsid w:val="00DF67B5"/>
    <w:rsid w:val="00DF68AD"/>
    <w:rsid w:val="00E01A82"/>
    <w:rsid w:val="00E02F8F"/>
    <w:rsid w:val="00E0392E"/>
    <w:rsid w:val="00E06A43"/>
    <w:rsid w:val="00E07875"/>
    <w:rsid w:val="00E10F58"/>
    <w:rsid w:val="00E1150C"/>
    <w:rsid w:val="00E11CAD"/>
    <w:rsid w:val="00E13E40"/>
    <w:rsid w:val="00E14D91"/>
    <w:rsid w:val="00E15188"/>
    <w:rsid w:val="00E16523"/>
    <w:rsid w:val="00E179F4"/>
    <w:rsid w:val="00E221AA"/>
    <w:rsid w:val="00E22665"/>
    <w:rsid w:val="00E22940"/>
    <w:rsid w:val="00E22C80"/>
    <w:rsid w:val="00E22F11"/>
    <w:rsid w:val="00E240FE"/>
    <w:rsid w:val="00E249DF"/>
    <w:rsid w:val="00E24BD2"/>
    <w:rsid w:val="00E26188"/>
    <w:rsid w:val="00E27592"/>
    <w:rsid w:val="00E27D0D"/>
    <w:rsid w:val="00E27F1A"/>
    <w:rsid w:val="00E3098C"/>
    <w:rsid w:val="00E3141F"/>
    <w:rsid w:val="00E31801"/>
    <w:rsid w:val="00E356FB"/>
    <w:rsid w:val="00E36E20"/>
    <w:rsid w:val="00E37CEF"/>
    <w:rsid w:val="00E40B16"/>
    <w:rsid w:val="00E420B1"/>
    <w:rsid w:val="00E46389"/>
    <w:rsid w:val="00E47003"/>
    <w:rsid w:val="00E472FF"/>
    <w:rsid w:val="00E4732E"/>
    <w:rsid w:val="00E500E3"/>
    <w:rsid w:val="00E5045B"/>
    <w:rsid w:val="00E517C3"/>
    <w:rsid w:val="00E530A7"/>
    <w:rsid w:val="00E54687"/>
    <w:rsid w:val="00E54A56"/>
    <w:rsid w:val="00E57D42"/>
    <w:rsid w:val="00E60A2D"/>
    <w:rsid w:val="00E61058"/>
    <w:rsid w:val="00E62507"/>
    <w:rsid w:val="00E6306D"/>
    <w:rsid w:val="00E63326"/>
    <w:rsid w:val="00E677AE"/>
    <w:rsid w:val="00E707E7"/>
    <w:rsid w:val="00E70FF1"/>
    <w:rsid w:val="00E735EA"/>
    <w:rsid w:val="00E75059"/>
    <w:rsid w:val="00E75314"/>
    <w:rsid w:val="00E803DF"/>
    <w:rsid w:val="00E805C9"/>
    <w:rsid w:val="00E80E90"/>
    <w:rsid w:val="00E81364"/>
    <w:rsid w:val="00E813F4"/>
    <w:rsid w:val="00E81AC0"/>
    <w:rsid w:val="00E836E7"/>
    <w:rsid w:val="00E86AAF"/>
    <w:rsid w:val="00E87C18"/>
    <w:rsid w:val="00E905FC"/>
    <w:rsid w:val="00E9092A"/>
    <w:rsid w:val="00E90F85"/>
    <w:rsid w:val="00E9151B"/>
    <w:rsid w:val="00E933F6"/>
    <w:rsid w:val="00E94564"/>
    <w:rsid w:val="00E95194"/>
    <w:rsid w:val="00E96C96"/>
    <w:rsid w:val="00E97011"/>
    <w:rsid w:val="00E971C3"/>
    <w:rsid w:val="00E9747D"/>
    <w:rsid w:val="00E9771B"/>
    <w:rsid w:val="00E97B55"/>
    <w:rsid w:val="00EA0A3F"/>
    <w:rsid w:val="00EA40B2"/>
    <w:rsid w:val="00EA57D0"/>
    <w:rsid w:val="00EA6225"/>
    <w:rsid w:val="00EA6737"/>
    <w:rsid w:val="00EA684E"/>
    <w:rsid w:val="00EA6CBE"/>
    <w:rsid w:val="00EA7773"/>
    <w:rsid w:val="00EB0A77"/>
    <w:rsid w:val="00EB1240"/>
    <w:rsid w:val="00EB22D2"/>
    <w:rsid w:val="00EB281F"/>
    <w:rsid w:val="00EB2DE5"/>
    <w:rsid w:val="00EB3AFC"/>
    <w:rsid w:val="00EB3F45"/>
    <w:rsid w:val="00EB6585"/>
    <w:rsid w:val="00EB6F26"/>
    <w:rsid w:val="00EB723D"/>
    <w:rsid w:val="00EC4396"/>
    <w:rsid w:val="00EC5225"/>
    <w:rsid w:val="00EC5AF2"/>
    <w:rsid w:val="00EC65AA"/>
    <w:rsid w:val="00EC6E80"/>
    <w:rsid w:val="00ED0B64"/>
    <w:rsid w:val="00ED150C"/>
    <w:rsid w:val="00ED28B0"/>
    <w:rsid w:val="00ED3F75"/>
    <w:rsid w:val="00ED46C5"/>
    <w:rsid w:val="00ED4BD5"/>
    <w:rsid w:val="00ED528E"/>
    <w:rsid w:val="00ED5341"/>
    <w:rsid w:val="00ED6AD1"/>
    <w:rsid w:val="00ED75CB"/>
    <w:rsid w:val="00EE100D"/>
    <w:rsid w:val="00EE2118"/>
    <w:rsid w:val="00EE2EAA"/>
    <w:rsid w:val="00EE3161"/>
    <w:rsid w:val="00EE5CDF"/>
    <w:rsid w:val="00EF0EBE"/>
    <w:rsid w:val="00EF11DC"/>
    <w:rsid w:val="00EF282A"/>
    <w:rsid w:val="00EF4DF1"/>
    <w:rsid w:val="00F0116B"/>
    <w:rsid w:val="00F01528"/>
    <w:rsid w:val="00F01BDE"/>
    <w:rsid w:val="00F03783"/>
    <w:rsid w:val="00F03FE6"/>
    <w:rsid w:val="00F0455F"/>
    <w:rsid w:val="00F045A7"/>
    <w:rsid w:val="00F045F9"/>
    <w:rsid w:val="00F06FE0"/>
    <w:rsid w:val="00F072D2"/>
    <w:rsid w:val="00F10828"/>
    <w:rsid w:val="00F121A2"/>
    <w:rsid w:val="00F1385E"/>
    <w:rsid w:val="00F13A17"/>
    <w:rsid w:val="00F140C2"/>
    <w:rsid w:val="00F1452A"/>
    <w:rsid w:val="00F147E9"/>
    <w:rsid w:val="00F14958"/>
    <w:rsid w:val="00F16100"/>
    <w:rsid w:val="00F163C8"/>
    <w:rsid w:val="00F211A2"/>
    <w:rsid w:val="00F22222"/>
    <w:rsid w:val="00F22992"/>
    <w:rsid w:val="00F22EC7"/>
    <w:rsid w:val="00F2329E"/>
    <w:rsid w:val="00F23635"/>
    <w:rsid w:val="00F23BA5"/>
    <w:rsid w:val="00F25D42"/>
    <w:rsid w:val="00F26A51"/>
    <w:rsid w:val="00F311CE"/>
    <w:rsid w:val="00F32FE2"/>
    <w:rsid w:val="00F35244"/>
    <w:rsid w:val="00F35657"/>
    <w:rsid w:val="00F36A22"/>
    <w:rsid w:val="00F40C9A"/>
    <w:rsid w:val="00F41866"/>
    <w:rsid w:val="00F4292A"/>
    <w:rsid w:val="00F4383C"/>
    <w:rsid w:val="00F43ABE"/>
    <w:rsid w:val="00F449C9"/>
    <w:rsid w:val="00F47D8E"/>
    <w:rsid w:val="00F50007"/>
    <w:rsid w:val="00F50159"/>
    <w:rsid w:val="00F51370"/>
    <w:rsid w:val="00F5190F"/>
    <w:rsid w:val="00F51C5B"/>
    <w:rsid w:val="00F51DFA"/>
    <w:rsid w:val="00F535EA"/>
    <w:rsid w:val="00F5583C"/>
    <w:rsid w:val="00F57CD0"/>
    <w:rsid w:val="00F610B5"/>
    <w:rsid w:val="00F6117E"/>
    <w:rsid w:val="00F6312E"/>
    <w:rsid w:val="00F63940"/>
    <w:rsid w:val="00F64FC9"/>
    <w:rsid w:val="00F6598B"/>
    <w:rsid w:val="00F65A5A"/>
    <w:rsid w:val="00F67306"/>
    <w:rsid w:val="00F70007"/>
    <w:rsid w:val="00F7076F"/>
    <w:rsid w:val="00F72285"/>
    <w:rsid w:val="00F7351D"/>
    <w:rsid w:val="00F735C2"/>
    <w:rsid w:val="00F7370F"/>
    <w:rsid w:val="00F7485B"/>
    <w:rsid w:val="00F74C67"/>
    <w:rsid w:val="00F75598"/>
    <w:rsid w:val="00F76B89"/>
    <w:rsid w:val="00F77DE6"/>
    <w:rsid w:val="00F77F55"/>
    <w:rsid w:val="00F81636"/>
    <w:rsid w:val="00F81E16"/>
    <w:rsid w:val="00F820EC"/>
    <w:rsid w:val="00F83A40"/>
    <w:rsid w:val="00F84FD6"/>
    <w:rsid w:val="00F87A27"/>
    <w:rsid w:val="00F90DA1"/>
    <w:rsid w:val="00F91B75"/>
    <w:rsid w:val="00F927B9"/>
    <w:rsid w:val="00F93068"/>
    <w:rsid w:val="00F93995"/>
    <w:rsid w:val="00F93E78"/>
    <w:rsid w:val="00F95026"/>
    <w:rsid w:val="00F977FC"/>
    <w:rsid w:val="00F97F03"/>
    <w:rsid w:val="00FA22BB"/>
    <w:rsid w:val="00FA31B1"/>
    <w:rsid w:val="00FA4265"/>
    <w:rsid w:val="00FA4988"/>
    <w:rsid w:val="00FA52C8"/>
    <w:rsid w:val="00FA5D04"/>
    <w:rsid w:val="00FB03D0"/>
    <w:rsid w:val="00FB05CF"/>
    <w:rsid w:val="00FB2E72"/>
    <w:rsid w:val="00FB3B20"/>
    <w:rsid w:val="00FB4B96"/>
    <w:rsid w:val="00FB4CC3"/>
    <w:rsid w:val="00FB56D7"/>
    <w:rsid w:val="00FB5CC4"/>
    <w:rsid w:val="00FB7A73"/>
    <w:rsid w:val="00FC0CCC"/>
    <w:rsid w:val="00FC192F"/>
    <w:rsid w:val="00FC5CA8"/>
    <w:rsid w:val="00FC6555"/>
    <w:rsid w:val="00FC7A75"/>
    <w:rsid w:val="00FD0352"/>
    <w:rsid w:val="00FD0449"/>
    <w:rsid w:val="00FD0966"/>
    <w:rsid w:val="00FD21DB"/>
    <w:rsid w:val="00FD7555"/>
    <w:rsid w:val="00FD7558"/>
    <w:rsid w:val="00FD76A6"/>
    <w:rsid w:val="00FE121B"/>
    <w:rsid w:val="00FE52AB"/>
    <w:rsid w:val="00FE6CF0"/>
    <w:rsid w:val="00FF0B21"/>
    <w:rsid w:val="00FF2A5D"/>
    <w:rsid w:val="00FF5B35"/>
    <w:rsid w:val="00FF66F1"/>
    <w:rsid w:val="00FF6E58"/>
    <w:rsid w:val="318C53FC"/>
    <w:rsid w:val="5B44CD75"/>
    <w:rsid w:val="724308FC"/>
    <w:rsid w:val="7AC0E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A7B746"/>
  <w15:docId w15:val="{90A282A4-C692-4E4D-9272-4AD3B533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6DD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A6ECC"/>
    <w:pPr>
      <w:keepNext/>
      <w:keepLines/>
      <w:numPr>
        <w:numId w:val="1"/>
      </w:numPr>
      <w:spacing w:before="240" w:line="259" w:lineRule="auto"/>
      <w:jc w:val="both"/>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EF0EBE"/>
    <w:pPr>
      <w:keepNext/>
      <w:keepLines/>
      <w:numPr>
        <w:ilvl w:val="1"/>
        <w:numId w:val="1"/>
      </w:numPr>
      <w:spacing w:before="40" w:line="259" w:lineRule="auto"/>
      <w:jc w:val="both"/>
      <w:outlineLvl w:val="1"/>
    </w:pPr>
    <w:rPr>
      <w:rFonts w:asciiTheme="majorHAnsi" w:eastAsiaTheme="majorEastAsia" w:hAnsiTheme="majorHAnsi" w:cstheme="majorBidi"/>
      <w:color w:val="2F5496" w:themeColor="accent1" w:themeShade="BF"/>
      <w:sz w:val="28"/>
      <w:szCs w:val="26"/>
      <w:lang w:eastAsia="en-US"/>
    </w:rPr>
  </w:style>
  <w:style w:type="paragraph" w:styleId="Heading3">
    <w:name w:val="heading 3"/>
    <w:basedOn w:val="Normal"/>
    <w:next w:val="Normal"/>
    <w:link w:val="Heading3Char"/>
    <w:uiPriority w:val="9"/>
    <w:unhideWhenUsed/>
    <w:qFormat/>
    <w:rsid w:val="00435459"/>
    <w:pPr>
      <w:keepNext/>
      <w:keepLines/>
      <w:numPr>
        <w:ilvl w:val="2"/>
        <w:numId w:val="1"/>
      </w:numPr>
      <w:spacing w:before="40" w:line="259" w:lineRule="auto"/>
      <w:jc w:val="both"/>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unhideWhenUsed/>
    <w:qFormat/>
    <w:rsid w:val="00435459"/>
    <w:pPr>
      <w:keepNext/>
      <w:keepLines/>
      <w:numPr>
        <w:ilvl w:val="3"/>
        <w:numId w:val="1"/>
      </w:numPr>
      <w:spacing w:before="40" w:line="259" w:lineRule="auto"/>
      <w:jc w:val="both"/>
      <w:outlineLvl w:val="3"/>
    </w:pPr>
    <w:rPr>
      <w:rFonts w:asciiTheme="majorHAnsi" w:eastAsiaTheme="majorEastAsia" w:hAnsiTheme="majorHAnsi" w:cstheme="majorBidi"/>
      <w:i/>
      <w:iCs/>
      <w:color w:val="2F5496" w:themeColor="accent1" w:themeShade="BF"/>
      <w:sz w:val="22"/>
      <w:szCs w:val="22"/>
      <w:lang w:eastAsia="en-US"/>
    </w:rPr>
  </w:style>
  <w:style w:type="paragraph" w:styleId="Heading5">
    <w:name w:val="heading 5"/>
    <w:basedOn w:val="Normal"/>
    <w:next w:val="Normal"/>
    <w:link w:val="Heading5Char"/>
    <w:uiPriority w:val="9"/>
    <w:unhideWhenUsed/>
    <w:qFormat/>
    <w:rsid w:val="00CA23AE"/>
    <w:pPr>
      <w:keepNext/>
      <w:keepLines/>
      <w:numPr>
        <w:ilvl w:val="4"/>
        <w:numId w:val="1"/>
      </w:numPr>
      <w:spacing w:before="40" w:line="259" w:lineRule="auto"/>
      <w:jc w:val="both"/>
      <w:outlineLvl w:val="4"/>
    </w:pPr>
    <w:rPr>
      <w:rFonts w:asciiTheme="majorHAnsi" w:eastAsiaTheme="majorEastAsia" w:hAnsiTheme="majorHAnsi"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ED528E"/>
    <w:pPr>
      <w:keepNext/>
      <w:keepLines/>
      <w:numPr>
        <w:ilvl w:val="5"/>
        <w:numId w:val="1"/>
      </w:numPr>
      <w:spacing w:before="40" w:line="259" w:lineRule="auto"/>
      <w:jc w:val="both"/>
      <w:outlineLvl w:val="5"/>
    </w:pPr>
    <w:rPr>
      <w:rFonts w:asciiTheme="majorHAnsi" w:eastAsiaTheme="majorEastAsia" w:hAnsiTheme="majorHAnsi" w:cstheme="majorBidi"/>
      <w:color w:val="1F3763" w:themeColor="accent1" w:themeShade="7F"/>
      <w:sz w:val="22"/>
      <w:szCs w:val="22"/>
      <w:lang w:eastAsia="en-US"/>
    </w:rPr>
  </w:style>
  <w:style w:type="paragraph" w:styleId="Heading7">
    <w:name w:val="heading 7"/>
    <w:basedOn w:val="Normal"/>
    <w:next w:val="Normal"/>
    <w:link w:val="Heading7Char"/>
    <w:uiPriority w:val="9"/>
    <w:semiHidden/>
    <w:unhideWhenUsed/>
    <w:qFormat/>
    <w:rsid w:val="00ED528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D528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D528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AB0"/>
    <w:pPr>
      <w:spacing w:after="160" w:line="259" w:lineRule="auto"/>
      <w:ind w:left="720"/>
      <w:contextualSpacing/>
      <w:jc w:val="both"/>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940704"/>
    <w:rPr>
      <w:i/>
      <w:iCs/>
      <w:color w:val="4472C4" w:themeColor="accent1"/>
    </w:rPr>
  </w:style>
  <w:style w:type="table" w:styleId="TableGrid">
    <w:name w:val="Table Grid"/>
    <w:basedOn w:val="TableNormal"/>
    <w:uiPriority w:val="39"/>
    <w:rsid w:val="00AF3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49E7"/>
    <w:rPr>
      <w:sz w:val="16"/>
      <w:szCs w:val="16"/>
    </w:rPr>
  </w:style>
  <w:style w:type="paragraph" w:styleId="CommentText">
    <w:name w:val="annotation text"/>
    <w:basedOn w:val="Normal"/>
    <w:link w:val="CommentTextChar"/>
    <w:uiPriority w:val="99"/>
    <w:unhideWhenUsed/>
    <w:rsid w:val="003349E7"/>
    <w:pPr>
      <w:spacing w:after="160"/>
      <w:jc w:val="both"/>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3349E7"/>
    <w:rPr>
      <w:sz w:val="20"/>
      <w:szCs w:val="20"/>
    </w:rPr>
  </w:style>
  <w:style w:type="paragraph" w:styleId="CommentSubject">
    <w:name w:val="annotation subject"/>
    <w:basedOn w:val="CommentText"/>
    <w:next w:val="CommentText"/>
    <w:link w:val="CommentSubjectChar"/>
    <w:uiPriority w:val="99"/>
    <w:semiHidden/>
    <w:unhideWhenUsed/>
    <w:rsid w:val="003349E7"/>
    <w:rPr>
      <w:b/>
      <w:bCs/>
    </w:rPr>
  </w:style>
  <w:style w:type="character" w:customStyle="1" w:styleId="CommentSubjectChar">
    <w:name w:val="Comment Subject Char"/>
    <w:basedOn w:val="CommentTextChar"/>
    <w:link w:val="CommentSubject"/>
    <w:uiPriority w:val="99"/>
    <w:semiHidden/>
    <w:rsid w:val="003349E7"/>
    <w:rPr>
      <w:b/>
      <w:bCs/>
      <w:sz w:val="20"/>
      <w:szCs w:val="20"/>
    </w:rPr>
  </w:style>
  <w:style w:type="paragraph" w:styleId="BalloonText">
    <w:name w:val="Balloon Text"/>
    <w:basedOn w:val="Normal"/>
    <w:link w:val="BalloonTextChar"/>
    <w:uiPriority w:val="99"/>
    <w:semiHidden/>
    <w:unhideWhenUsed/>
    <w:rsid w:val="003349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9E7"/>
    <w:rPr>
      <w:rFonts w:ascii="Segoe UI" w:hAnsi="Segoe UI" w:cs="Segoe UI"/>
      <w:sz w:val="18"/>
      <w:szCs w:val="18"/>
    </w:rPr>
  </w:style>
  <w:style w:type="paragraph" w:styleId="Caption">
    <w:name w:val="caption"/>
    <w:basedOn w:val="Normal"/>
    <w:next w:val="Normal"/>
    <w:uiPriority w:val="35"/>
    <w:unhideWhenUsed/>
    <w:qFormat/>
    <w:rsid w:val="00064B73"/>
    <w:pPr>
      <w:spacing w:after="200"/>
      <w:jc w:val="both"/>
    </w:pPr>
    <w:rPr>
      <w:rFonts w:asciiTheme="minorHAnsi" w:eastAsiaTheme="minorHAnsi" w:hAnsiTheme="minorHAnsi" w:cstheme="minorBidi"/>
      <w:i/>
      <w:iCs/>
      <w:color w:val="44546A" w:themeColor="text2"/>
      <w:sz w:val="18"/>
      <w:szCs w:val="18"/>
      <w:lang w:eastAsia="en-US"/>
    </w:rPr>
  </w:style>
  <w:style w:type="paragraph" w:styleId="NoSpacing">
    <w:name w:val="No Spacing"/>
    <w:uiPriority w:val="1"/>
    <w:qFormat/>
    <w:rsid w:val="002F4647"/>
    <w:pPr>
      <w:spacing w:after="0" w:line="240" w:lineRule="auto"/>
    </w:pPr>
  </w:style>
  <w:style w:type="character" w:styleId="Hyperlink">
    <w:name w:val="Hyperlink"/>
    <w:basedOn w:val="DefaultParagraphFont"/>
    <w:uiPriority w:val="99"/>
    <w:unhideWhenUsed/>
    <w:rsid w:val="005D2CB1"/>
    <w:rPr>
      <w:color w:val="0563C1" w:themeColor="hyperlink"/>
      <w:u w:val="single"/>
    </w:rPr>
  </w:style>
  <w:style w:type="character" w:customStyle="1" w:styleId="UnresolvedMention1">
    <w:name w:val="Unresolved Mention1"/>
    <w:basedOn w:val="DefaultParagraphFont"/>
    <w:uiPriority w:val="99"/>
    <w:semiHidden/>
    <w:unhideWhenUsed/>
    <w:rsid w:val="005D2CB1"/>
    <w:rPr>
      <w:color w:val="605E5C"/>
      <w:shd w:val="clear" w:color="auto" w:fill="E1DFDD"/>
    </w:rPr>
  </w:style>
  <w:style w:type="character" w:customStyle="1" w:styleId="floatright">
    <w:name w:val="float_right"/>
    <w:basedOn w:val="DefaultParagraphFont"/>
    <w:rsid w:val="005D2CB1"/>
  </w:style>
  <w:style w:type="paragraph" w:styleId="Header">
    <w:name w:val="header"/>
    <w:basedOn w:val="Normal"/>
    <w:link w:val="HeaderChar"/>
    <w:uiPriority w:val="99"/>
    <w:unhideWhenUsed/>
    <w:rsid w:val="004F52E1"/>
    <w:pPr>
      <w:tabs>
        <w:tab w:val="center" w:pos="4513"/>
        <w:tab w:val="right" w:pos="9026"/>
      </w:tabs>
      <w:jc w:val="both"/>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F52E1"/>
  </w:style>
  <w:style w:type="paragraph" w:styleId="Footer">
    <w:name w:val="footer"/>
    <w:basedOn w:val="Normal"/>
    <w:link w:val="FooterChar"/>
    <w:uiPriority w:val="99"/>
    <w:unhideWhenUsed/>
    <w:qFormat/>
    <w:rsid w:val="004F52E1"/>
    <w:pPr>
      <w:tabs>
        <w:tab w:val="center" w:pos="4513"/>
        <w:tab w:val="right" w:pos="9026"/>
      </w:tabs>
      <w:jc w:val="both"/>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4F52E1"/>
  </w:style>
  <w:style w:type="character" w:customStyle="1" w:styleId="Heading1Char">
    <w:name w:val="Heading 1 Char"/>
    <w:basedOn w:val="DefaultParagraphFont"/>
    <w:link w:val="Heading1"/>
    <w:uiPriority w:val="9"/>
    <w:rsid w:val="009A6EC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A6ECC"/>
    <w:pPr>
      <w:outlineLvl w:val="9"/>
    </w:pPr>
    <w:rPr>
      <w:lang w:val="en-US"/>
    </w:rPr>
  </w:style>
  <w:style w:type="paragraph" w:styleId="TOC1">
    <w:name w:val="toc 1"/>
    <w:basedOn w:val="Normal"/>
    <w:next w:val="Normal"/>
    <w:autoRedefine/>
    <w:uiPriority w:val="39"/>
    <w:unhideWhenUsed/>
    <w:rsid w:val="007114E7"/>
    <w:pPr>
      <w:spacing w:after="100" w:line="259" w:lineRule="auto"/>
      <w:jc w:val="both"/>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EF0EBE"/>
    <w:rPr>
      <w:rFonts w:asciiTheme="majorHAnsi" w:eastAsiaTheme="majorEastAsia" w:hAnsiTheme="majorHAnsi" w:cstheme="majorBidi"/>
      <w:color w:val="2F5496" w:themeColor="accent1" w:themeShade="BF"/>
      <w:sz w:val="28"/>
      <w:szCs w:val="26"/>
    </w:rPr>
  </w:style>
  <w:style w:type="paragraph" w:styleId="TOC2">
    <w:name w:val="toc 2"/>
    <w:basedOn w:val="Normal"/>
    <w:next w:val="Normal"/>
    <w:autoRedefine/>
    <w:uiPriority w:val="39"/>
    <w:unhideWhenUsed/>
    <w:rsid w:val="007114E7"/>
    <w:pPr>
      <w:spacing w:after="100" w:line="259" w:lineRule="auto"/>
      <w:ind w:left="220"/>
      <w:jc w:val="both"/>
    </w:pPr>
    <w:rPr>
      <w:rFonts w:asciiTheme="minorHAnsi" w:eastAsiaTheme="minorHAnsi" w:hAnsiTheme="minorHAnsi" w:cstheme="minorBidi"/>
      <w:sz w:val="22"/>
      <w:szCs w:val="22"/>
      <w:lang w:eastAsia="en-US"/>
    </w:rPr>
  </w:style>
  <w:style w:type="paragraph" w:styleId="Title">
    <w:name w:val="Title"/>
    <w:basedOn w:val="Normal"/>
    <w:next w:val="Normal"/>
    <w:link w:val="TitleChar"/>
    <w:uiPriority w:val="10"/>
    <w:qFormat/>
    <w:rsid w:val="00AF2984"/>
    <w:pPr>
      <w:contextualSpacing/>
      <w:jc w:val="both"/>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AF2984"/>
    <w:rPr>
      <w:rFonts w:asciiTheme="majorHAnsi" w:eastAsiaTheme="majorEastAsia" w:hAnsiTheme="majorHAnsi" w:cstheme="majorBidi"/>
      <w:spacing w:val="-10"/>
      <w:kern w:val="28"/>
      <w:sz w:val="56"/>
      <w:szCs w:val="56"/>
    </w:rPr>
  </w:style>
  <w:style w:type="character" w:styleId="PageNumber">
    <w:name w:val="page number"/>
    <w:basedOn w:val="DefaultParagraphFont"/>
    <w:semiHidden/>
    <w:rsid w:val="005577C9"/>
  </w:style>
  <w:style w:type="character" w:customStyle="1" w:styleId="UnresolvedMention2">
    <w:name w:val="Unresolved Mention2"/>
    <w:basedOn w:val="DefaultParagraphFont"/>
    <w:uiPriority w:val="99"/>
    <w:semiHidden/>
    <w:unhideWhenUsed/>
    <w:rsid w:val="00164573"/>
    <w:rPr>
      <w:color w:val="605E5C"/>
      <w:shd w:val="clear" w:color="auto" w:fill="E1DFDD"/>
    </w:rPr>
  </w:style>
  <w:style w:type="character" w:styleId="FollowedHyperlink">
    <w:name w:val="FollowedHyperlink"/>
    <w:basedOn w:val="DefaultParagraphFont"/>
    <w:uiPriority w:val="99"/>
    <w:semiHidden/>
    <w:unhideWhenUsed/>
    <w:rsid w:val="00845DE7"/>
    <w:rPr>
      <w:color w:val="954F72" w:themeColor="followedHyperlink"/>
      <w:u w:val="single"/>
    </w:rPr>
  </w:style>
  <w:style w:type="paragraph" w:styleId="Revision">
    <w:name w:val="Revision"/>
    <w:hidden/>
    <w:uiPriority w:val="99"/>
    <w:semiHidden/>
    <w:rsid w:val="00122DF3"/>
    <w:pPr>
      <w:spacing w:after="0" w:line="240" w:lineRule="auto"/>
    </w:pPr>
  </w:style>
  <w:style w:type="paragraph" w:styleId="NormalWeb">
    <w:name w:val="Normal (Web)"/>
    <w:basedOn w:val="Normal"/>
    <w:uiPriority w:val="99"/>
    <w:semiHidden/>
    <w:unhideWhenUsed/>
    <w:rsid w:val="005C3CD8"/>
    <w:pPr>
      <w:spacing w:before="100" w:beforeAutospacing="1" w:after="100" w:afterAutospacing="1"/>
    </w:pPr>
    <w:rPr>
      <w:rFonts w:eastAsiaTheme="minorEastAsia"/>
    </w:rPr>
  </w:style>
  <w:style w:type="character" w:customStyle="1" w:styleId="UnresolvedMention3">
    <w:name w:val="Unresolved Mention3"/>
    <w:basedOn w:val="DefaultParagraphFont"/>
    <w:uiPriority w:val="99"/>
    <w:semiHidden/>
    <w:unhideWhenUsed/>
    <w:rsid w:val="00524A92"/>
    <w:rPr>
      <w:color w:val="605E5C"/>
      <w:shd w:val="clear" w:color="auto" w:fill="E1DFDD"/>
    </w:rPr>
  </w:style>
  <w:style w:type="character" w:customStyle="1" w:styleId="Heading3Char">
    <w:name w:val="Heading 3 Char"/>
    <w:basedOn w:val="DefaultParagraphFont"/>
    <w:link w:val="Heading3"/>
    <w:uiPriority w:val="9"/>
    <w:rsid w:val="0043545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35459"/>
    <w:rPr>
      <w:rFonts w:asciiTheme="majorHAnsi" w:eastAsiaTheme="majorEastAsia" w:hAnsiTheme="majorHAnsi" w:cstheme="majorBidi"/>
      <w:i/>
      <w:iCs/>
      <w:color w:val="2F5496" w:themeColor="accent1" w:themeShade="BF"/>
    </w:rPr>
  </w:style>
  <w:style w:type="paragraph" w:styleId="TOC3">
    <w:name w:val="toc 3"/>
    <w:basedOn w:val="Normal"/>
    <w:next w:val="Normal"/>
    <w:autoRedefine/>
    <w:uiPriority w:val="39"/>
    <w:unhideWhenUsed/>
    <w:rsid w:val="00520F64"/>
    <w:pPr>
      <w:spacing w:after="100" w:line="259" w:lineRule="auto"/>
      <w:ind w:left="440"/>
      <w:jc w:val="both"/>
    </w:pPr>
    <w:rPr>
      <w:rFonts w:asciiTheme="minorHAnsi" w:eastAsiaTheme="minorHAnsi" w:hAnsiTheme="minorHAnsi" w:cstheme="minorBidi"/>
      <w:sz w:val="22"/>
      <w:szCs w:val="22"/>
      <w:lang w:eastAsia="en-US"/>
    </w:rPr>
  </w:style>
  <w:style w:type="character" w:customStyle="1" w:styleId="Heading5Char">
    <w:name w:val="Heading 5 Char"/>
    <w:basedOn w:val="DefaultParagraphFont"/>
    <w:link w:val="Heading5"/>
    <w:uiPriority w:val="9"/>
    <w:rsid w:val="00CA23AE"/>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B81A90"/>
    <w:rPr>
      <w:color w:val="605E5C"/>
      <w:shd w:val="clear" w:color="auto" w:fill="E1DFDD"/>
    </w:rPr>
  </w:style>
  <w:style w:type="character" w:customStyle="1" w:styleId="Heading6Char">
    <w:name w:val="Heading 6 Char"/>
    <w:basedOn w:val="DefaultParagraphFont"/>
    <w:link w:val="Heading6"/>
    <w:uiPriority w:val="9"/>
    <w:semiHidden/>
    <w:rsid w:val="00ED528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D528E"/>
    <w:rPr>
      <w:rFonts w:asciiTheme="majorHAnsi" w:eastAsiaTheme="majorEastAsia" w:hAnsiTheme="majorHAnsi" w:cstheme="majorBidi"/>
      <w:i/>
      <w:iCs/>
      <w:color w:val="1F3763" w:themeColor="accent1" w:themeShade="7F"/>
      <w:sz w:val="24"/>
      <w:szCs w:val="24"/>
      <w:lang w:eastAsia="en-GB"/>
    </w:rPr>
  </w:style>
  <w:style w:type="character" w:customStyle="1" w:styleId="Heading8Char">
    <w:name w:val="Heading 8 Char"/>
    <w:basedOn w:val="DefaultParagraphFont"/>
    <w:link w:val="Heading8"/>
    <w:uiPriority w:val="9"/>
    <w:semiHidden/>
    <w:rsid w:val="00ED528E"/>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ED528E"/>
    <w:rPr>
      <w:rFonts w:asciiTheme="majorHAnsi" w:eastAsiaTheme="majorEastAsia" w:hAnsiTheme="majorHAnsi" w:cstheme="majorBidi"/>
      <w:i/>
      <w:iCs/>
      <w:color w:val="272727" w:themeColor="text1" w:themeTint="D8"/>
      <w:sz w:val="21"/>
      <w:szCs w:val="21"/>
      <w:lang w:eastAsia="en-GB"/>
    </w:rPr>
  </w:style>
  <w:style w:type="character" w:customStyle="1" w:styleId="apple-converted-space">
    <w:name w:val="apple-converted-space"/>
    <w:basedOn w:val="DefaultParagraphFont"/>
    <w:rsid w:val="00666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8432">
      <w:bodyDiv w:val="1"/>
      <w:marLeft w:val="0"/>
      <w:marRight w:val="0"/>
      <w:marTop w:val="0"/>
      <w:marBottom w:val="0"/>
      <w:divBdr>
        <w:top w:val="none" w:sz="0" w:space="0" w:color="auto"/>
        <w:left w:val="none" w:sz="0" w:space="0" w:color="auto"/>
        <w:bottom w:val="none" w:sz="0" w:space="0" w:color="auto"/>
        <w:right w:val="none" w:sz="0" w:space="0" w:color="auto"/>
      </w:divBdr>
    </w:div>
    <w:div w:id="51126599">
      <w:bodyDiv w:val="1"/>
      <w:marLeft w:val="0"/>
      <w:marRight w:val="0"/>
      <w:marTop w:val="0"/>
      <w:marBottom w:val="0"/>
      <w:divBdr>
        <w:top w:val="none" w:sz="0" w:space="0" w:color="auto"/>
        <w:left w:val="none" w:sz="0" w:space="0" w:color="auto"/>
        <w:bottom w:val="none" w:sz="0" w:space="0" w:color="auto"/>
        <w:right w:val="none" w:sz="0" w:space="0" w:color="auto"/>
      </w:divBdr>
    </w:div>
    <w:div w:id="318920490">
      <w:bodyDiv w:val="1"/>
      <w:marLeft w:val="0"/>
      <w:marRight w:val="0"/>
      <w:marTop w:val="0"/>
      <w:marBottom w:val="0"/>
      <w:divBdr>
        <w:top w:val="none" w:sz="0" w:space="0" w:color="auto"/>
        <w:left w:val="none" w:sz="0" w:space="0" w:color="auto"/>
        <w:bottom w:val="none" w:sz="0" w:space="0" w:color="auto"/>
        <w:right w:val="none" w:sz="0" w:space="0" w:color="auto"/>
      </w:divBdr>
    </w:div>
    <w:div w:id="334111242">
      <w:bodyDiv w:val="1"/>
      <w:marLeft w:val="0"/>
      <w:marRight w:val="0"/>
      <w:marTop w:val="0"/>
      <w:marBottom w:val="0"/>
      <w:divBdr>
        <w:top w:val="none" w:sz="0" w:space="0" w:color="auto"/>
        <w:left w:val="none" w:sz="0" w:space="0" w:color="auto"/>
        <w:bottom w:val="none" w:sz="0" w:space="0" w:color="auto"/>
        <w:right w:val="none" w:sz="0" w:space="0" w:color="auto"/>
      </w:divBdr>
    </w:div>
    <w:div w:id="359745041">
      <w:bodyDiv w:val="1"/>
      <w:marLeft w:val="0"/>
      <w:marRight w:val="0"/>
      <w:marTop w:val="0"/>
      <w:marBottom w:val="0"/>
      <w:divBdr>
        <w:top w:val="none" w:sz="0" w:space="0" w:color="auto"/>
        <w:left w:val="none" w:sz="0" w:space="0" w:color="auto"/>
        <w:bottom w:val="none" w:sz="0" w:space="0" w:color="auto"/>
        <w:right w:val="none" w:sz="0" w:space="0" w:color="auto"/>
      </w:divBdr>
    </w:div>
    <w:div w:id="390350563">
      <w:bodyDiv w:val="1"/>
      <w:marLeft w:val="0"/>
      <w:marRight w:val="0"/>
      <w:marTop w:val="0"/>
      <w:marBottom w:val="0"/>
      <w:divBdr>
        <w:top w:val="none" w:sz="0" w:space="0" w:color="auto"/>
        <w:left w:val="none" w:sz="0" w:space="0" w:color="auto"/>
        <w:bottom w:val="none" w:sz="0" w:space="0" w:color="auto"/>
        <w:right w:val="none" w:sz="0" w:space="0" w:color="auto"/>
      </w:divBdr>
    </w:div>
    <w:div w:id="480075259">
      <w:bodyDiv w:val="1"/>
      <w:marLeft w:val="0"/>
      <w:marRight w:val="0"/>
      <w:marTop w:val="0"/>
      <w:marBottom w:val="0"/>
      <w:divBdr>
        <w:top w:val="none" w:sz="0" w:space="0" w:color="auto"/>
        <w:left w:val="none" w:sz="0" w:space="0" w:color="auto"/>
        <w:bottom w:val="none" w:sz="0" w:space="0" w:color="auto"/>
        <w:right w:val="none" w:sz="0" w:space="0" w:color="auto"/>
      </w:divBdr>
    </w:div>
    <w:div w:id="526452603">
      <w:bodyDiv w:val="1"/>
      <w:marLeft w:val="0"/>
      <w:marRight w:val="0"/>
      <w:marTop w:val="0"/>
      <w:marBottom w:val="0"/>
      <w:divBdr>
        <w:top w:val="none" w:sz="0" w:space="0" w:color="auto"/>
        <w:left w:val="none" w:sz="0" w:space="0" w:color="auto"/>
        <w:bottom w:val="none" w:sz="0" w:space="0" w:color="auto"/>
        <w:right w:val="none" w:sz="0" w:space="0" w:color="auto"/>
      </w:divBdr>
    </w:div>
    <w:div w:id="548415069">
      <w:bodyDiv w:val="1"/>
      <w:marLeft w:val="0"/>
      <w:marRight w:val="0"/>
      <w:marTop w:val="0"/>
      <w:marBottom w:val="0"/>
      <w:divBdr>
        <w:top w:val="none" w:sz="0" w:space="0" w:color="auto"/>
        <w:left w:val="none" w:sz="0" w:space="0" w:color="auto"/>
        <w:bottom w:val="none" w:sz="0" w:space="0" w:color="auto"/>
        <w:right w:val="none" w:sz="0" w:space="0" w:color="auto"/>
      </w:divBdr>
    </w:div>
    <w:div w:id="553548328">
      <w:bodyDiv w:val="1"/>
      <w:marLeft w:val="0"/>
      <w:marRight w:val="0"/>
      <w:marTop w:val="0"/>
      <w:marBottom w:val="0"/>
      <w:divBdr>
        <w:top w:val="none" w:sz="0" w:space="0" w:color="auto"/>
        <w:left w:val="none" w:sz="0" w:space="0" w:color="auto"/>
        <w:bottom w:val="none" w:sz="0" w:space="0" w:color="auto"/>
        <w:right w:val="none" w:sz="0" w:space="0" w:color="auto"/>
      </w:divBdr>
    </w:div>
    <w:div w:id="844058276">
      <w:bodyDiv w:val="1"/>
      <w:marLeft w:val="0"/>
      <w:marRight w:val="0"/>
      <w:marTop w:val="0"/>
      <w:marBottom w:val="0"/>
      <w:divBdr>
        <w:top w:val="none" w:sz="0" w:space="0" w:color="auto"/>
        <w:left w:val="none" w:sz="0" w:space="0" w:color="auto"/>
        <w:bottom w:val="none" w:sz="0" w:space="0" w:color="auto"/>
        <w:right w:val="none" w:sz="0" w:space="0" w:color="auto"/>
      </w:divBdr>
    </w:div>
    <w:div w:id="895119118">
      <w:bodyDiv w:val="1"/>
      <w:marLeft w:val="0"/>
      <w:marRight w:val="0"/>
      <w:marTop w:val="0"/>
      <w:marBottom w:val="0"/>
      <w:divBdr>
        <w:top w:val="none" w:sz="0" w:space="0" w:color="auto"/>
        <w:left w:val="none" w:sz="0" w:space="0" w:color="auto"/>
        <w:bottom w:val="none" w:sz="0" w:space="0" w:color="auto"/>
        <w:right w:val="none" w:sz="0" w:space="0" w:color="auto"/>
      </w:divBdr>
    </w:div>
    <w:div w:id="919605598">
      <w:bodyDiv w:val="1"/>
      <w:marLeft w:val="0"/>
      <w:marRight w:val="0"/>
      <w:marTop w:val="0"/>
      <w:marBottom w:val="0"/>
      <w:divBdr>
        <w:top w:val="none" w:sz="0" w:space="0" w:color="auto"/>
        <w:left w:val="none" w:sz="0" w:space="0" w:color="auto"/>
        <w:bottom w:val="none" w:sz="0" w:space="0" w:color="auto"/>
        <w:right w:val="none" w:sz="0" w:space="0" w:color="auto"/>
      </w:divBdr>
    </w:div>
    <w:div w:id="964888697">
      <w:bodyDiv w:val="1"/>
      <w:marLeft w:val="0"/>
      <w:marRight w:val="0"/>
      <w:marTop w:val="0"/>
      <w:marBottom w:val="0"/>
      <w:divBdr>
        <w:top w:val="none" w:sz="0" w:space="0" w:color="auto"/>
        <w:left w:val="none" w:sz="0" w:space="0" w:color="auto"/>
        <w:bottom w:val="none" w:sz="0" w:space="0" w:color="auto"/>
        <w:right w:val="none" w:sz="0" w:space="0" w:color="auto"/>
      </w:divBdr>
    </w:div>
    <w:div w:id="1060791959">
      <w:bodyDiv w:val="1"/>
      <w:marLeft w:val="0"/>
      <w:marRight w:val="0"/>
      <w:marTop w:val="0"/>
      <w:marBottom w:val="0"/>
      <w:divBdr>
        <w:top w:val="none" w:sz="0" w:space="0" w:color="auto"/>
        <w:left w:val="none" w:sz="0" w:space="0" w:color="auto"/>
        <w:bottom w:val="none" w:sz="0" w:space="0" w:color="auto"/>
        <w:right w:val="none" w:sz="0" w:space="0" w:color="auto"/>
      </w:divBdr>
    </w:div>
    <w:div w:id="1114247682">
      <w:bodyDiv w:val="1"/>
      <w:marLeft w:val="0"/>
      <w:marRight w:val="0"/>
      <w:marTop w:val="0"/>
      <w:marBottom w:val="0"/>
      <w:divBdr>
        <w:top w:val="none" w:sz="0" w:space="0" w:color="auto"/>
        <w:left w:val="none" w:sz="0" w:space="0" w:color="auto"/>
        <w:bottom w:val="none" w:sz="0" w:space="0" w:color="auto"/>
        <w:right w:val="none" w:sz="0" w:space="0" w:color="auto"/>
      </w:divBdr>
    </w:div>
    <w:div w:id="1120102459">
      <w:bodyDiv w:val="1"/>
      <w:marLeft w:val="0"/>
      <w:marRight w:val="0"/>
      <w:marTop w:val="0"/>
      <w:marBottom w:val="0"/>
      <w:divBdr>
        <w:top w:val="none" w:sz="0" w:space="0" w:color="auto"/>
        <w:left w:val="none" w:sz="0" w:space="0" w:color="auto"/>
        <w:bottom w:val="none" w:sz="0" w:space="0" w:color="auto"/>
        <w:right w:val="none" w:sz="0" w:space="0" w:color="auto"/>
      </w:divBdr>
    </w:div>
    <w:div w:id="1139298430">
      <w:bodyDiv w:val="1"/>
      <w:marLeft w:val="0"/>
      <w:marRight w:val="0"/>
      <w:marTop w:val="0"/>
      <w:marBottom w:val="0"/>
      <w:divBdr>
        <w:top w:val="none" w:sz="0" w:space="0" w:color="auto"/>
        <w:left w:val="none" w:sz="0" w:space="0" w:color="auto"/>
        <w:bottom w:val="none" w:sz="0" w:space="0" w:color="auto"/>
        <w:right w:val="none" w:sz="0" w:space="0" w:color="auto"/>
      </w:divBdr>
    </w:div>
    <w:div w:id="1212839353">
      <w:bodyDiv w:val="1"/>
      <w:marLeft w:val="0"/>
      <w:marRight w:val="0"/>
      <w:marTop w:val="0"/>
      <w:marBottom w:val="0"/>
      <w:divBdr>
        <w:top w:val="none" w:sz="0" w:space="0" w:color="auto"/>
        <w:left w:val="none" w:sz="0" w:space="0" w:color="auto"/>
        <w:bottom w:val="none" w:sz="0" w:space="0" w:color="auto"/>
        <w:right w:val="none" w:sz="0" w:space="0" w:color="auto"/>
      </w:divBdr>
    </w:div>
    <w:div w:id="1280183743">
      <w:bodyDiv w:val="1"/>
      <w:marLeft w:val="0"/>
      <w:marRight w:val="0"/>
      <w:marTop w:val="0"/>
      <w:marBottom w:val="0"/>
      <w:divBdr>
        <w:top w:val="none" w:sz="0" w:space="0" w:color="auto"/>
        <w:left w:val="none" w:sz="0" w:space="0" w:color="auto"/>
        <w:bottom w:val="none" w:sz="0" w:space="0" w:color="auto"/>
        <w:right w:val="none" w:sz="0" w:space="0" w:color="auto"/>
      </w:divBdr>
    </w:div>
    <w:div w:id="1317804997">
      <w:bodyDiv w:val="1"/>
      <w:marLeft w:val="0"/>
      <w:marRight w:val="0"/>
      <w:marTop w:val="0"/>
      <w:marBottom w:val="0"/>
      <w:divBdr>
        <w:top w:val="none" w:sz="0" w:space="0" w:color="auto"/>
        <w:left w:val="none" w:sz="0" w:space="0" w:color="auto"/>
        <w:bottom w:val="none" w:sz="0" w:space="0" w:color="auto"/>
        <w:right w:val="none" w:sz="0" w:space="0" w:color="auto"/>
      </w:divBdr>
    </w:div>
    <w:div w:id="1421945363">
      <w:bodyDiv w:val="1"/>
      <w:marLeft w:val="0"/>
      <w:marRight w:val="0"/>
      <w:marTop w:val="0"/>
      <w:marBottom w:val="0"/>
      <w:divBdr>
        <w:top w:val="none" w:sz="0" w:space="0" w:color="auto"/>
        <w:left w:val="none" w:sz="0" w:space="0" w:color="auto"/>
        <w:bottom w:val="none" w:sz="0" w:space="0" w:color="auto"/>
        <w:right w:val="none" w:sz="0" w:space="0" w:color="auto"/>
      </w:divBdr>
    </w:div>
    <w:div w:id="1432773277">
      <w:bodyDiv w:val="1"/>
      <w:marLeft w:val="0"/>
      <w:marRight w:val="0"/>
      <w:marTop w:val="0"/>
      <w:marBottom w:val="0"/>
      <w:divBdr>
        <w:top w:val="none" w:sz="0" w:space="0" w:color="auto"/>
        <w:left w:val="none" w:sz="0" w:space="0" w:color="auto"/>
        <w:bottom w:val="none" w:sz="0" w:space="0" w:color="auto"/>
        <w:right w:val="none" w:sz="0" w:space="0" w:color="auto"/>
      </w:divBdr>
    </w:div>
    <w:div w:id="1441294527">
      <w:bodyDiv w:val="1"/>
      <w:marLeft w:val="0"/>
      <w:marRight w:val="0"/>
      <w:marTop w:val="0"/>
      <w:marBottom w:val="0"/>
      <w:divBdr>
        <w:top w:val="none" w:sz="0" w:space="0" w:color="auto"/>
        <w:left w:val="none" w:sz="0" w:space="0" w:color="auto"/>
        <w:bottom w:val="none" w:sz="0" w:space="0" w:color="auto"/>
        <w:right w:val="none" w:sz="0" w:space="0" w:color="auto"/>
      </w:divBdr>
    </w:div>
    <w:div w:id="1458529748">
      <w:bodyDiv w:val="1"/>
      <w:marLeft w:val="0"/>
      <w:marRight w:val="0"/>
      <w:marTop w:val="0"/>
      <w:marBottom w:val="0"/>
      <w:divBdr>
        <w:top w:val="none" w:sz="0" w:space="0" w:color="auto"/>
        <w:left w:val="none" w:sz="0" w:space="0" w:color="auto"/>
        <w:bottom w:val="none" w:sz="0" w:space="0" w:color="auto"/>
        <w:right w:val="none" w:sz="0" w:space="0" w:color="auto"/>
      </w:divBdr>
    </w:div>
    <w:div w:id="1489248795">
      <w:bodyDiv w:val="1"/>
      <w:marLeft w:val="0"/>
      <w:marRight w:val="0"/>
      <w:marTop w:val="0"/>
      <w:marBottom w:val="0"/>
      <w:divBdr>
        <w:top w:val="none" w:sz="0" w:space="0" w:color="auto"/>
        <w:left w:val="none" w:sz="0" w:space="0" w:color="auto"/>
        <w:bottom w:val="none" w:sz="0" w:space="0" w:color="auto"/>
        <w:right w:val="none" w:sz="0" w:space="0" w:color="auto"/>
      </w:divBdr>
    </w:div>
    <w:div w:id="1529220086">
      <w:bodyDiv w:val="1"/>
      <w:marLeft w:val="0"/>
      <w:marRight w:val="0"/>
      <w:marTop w:val="0"/>
      <w:marBottom w:val="0"/>
      <w:divBdr>
        <w:top w:val="none" w:sz="0" w:space="0" w:color="auto"/>
        <w:left w:val="none" w:sz="0" w:space="0" w:color="auto"/>
        <w:bottom w:val="none" w:sz="0" w:space="0" w:color="auto"/>
        <w:right w:val="none" w:sz="0" w:space="0" w:color="auto"/>
      </w:divBdr>
    </w:div>
    <w:div w:id="1587181999">
      <w:bodyDiv w:val="1"/>
      <w:marLeft w:val="0"/>
      <w:marRight w:val="0"/>
      <w:marTop w:val="0"/>
      <w:marBottom w:val="0"/>
      <w:divBdr>
        <w:top w:val="none" w:sz="0" w:space="0" w:color="auto"/>
        <w:left w:val="none" w:sz="0" w:space="0" w:color="auto"/>
        <w:bottom w:val="none" w:sz="0" w:space="0" w:color="auto"/>
        <w:right w:val="none" w:sz="0" w:space="0" w:color="auto"/>
      </w:divBdr>
    </w:div>
    <w:div w:id="1588542092">
      <w:bodyDiv w:val="1"/>
      <w:marLeft w:val="0"/>
      <w:marRight w:val="0"/>
      <w:marTop w:val="0"/>
      <w:marBottom w:val="0"/>
      <w:divBdr>
        <w:top w:val="none" w:sz="0" w:space="0" w:color="auto"/>
        <w:left w:val="none" w:sz="0" w:space="0" w:color="auto"/>
        <w:bottom w:val="none" w:sz="0" w:space="0" w:color="auto"/>
        <w:right w:val="none" w:sz="0" w:space="0" w:color="auto"/>
      </w:divBdr>
    </w:div>
    <w:div w:id="1600333845">
      <w:bodyDiv w:val="1"/>
      <w:marLeft w:val="0"/>
      <w:marRight w:val="0"/>
      <w:marTop w:val="0"/>
      <w:marBottom w:val="0"/>
      <w:divBdr>
        <w:top w:val="none" w:sz="0" w:space="0" w:color="auto"/>
        <w:left w:val="none" w:sz="0" w:space="0" w:color="auto"/>
        <w:bottom w:val="none" w:sz="0" w:space="0" w:color="auto"/>
        <w:right w:val="none" w:sz="0" w:space="0" w:color="auto"/>
      </w:divBdr>
    </w:div>
    <w:div w:id="1655378479">
      <w:bodyDiv w:val="1"/>
      <w:marLeft w:val="0"/>
      <w:marRight w:val="0"/>
      <w:marTop w:val="0"/>
      <w:marBottom w:val="0"/>
      <w:divBdr>
        <w:top w:val="none" w:sz="0" w:space="0" w:color="auto"/>
        <w:left w:val="none" w:sz="0" w:space="0" w:color="auto"/>
        <w:bottom w:val="none" w:sz="0" w:space="0" w:color="auto"/>
        <w:right w:val="none" w:sz="0" w:space="0" w:color="auto"/>
      </w:divBdr>
    </w:div>
    <w:div w:id="1777941253">
      <w:bodyDiv w:val="1"/>
      <w:marLeft w:val="0"/>
      <w:marRight w:val="0"/>
      <w:marTop w:val="0"/>
      <w:marBottom w:val="0"/>
      <w:divBdr>
        <w:top w:val="none" w:sz="0" w:space="0" w:color="auto"/>
        <w:left w:val="none" w:sz="0" w:space="0" w:color="auto"/>
        <w:bottom w:val="none" w:sz="0" w:space="0" w:color="auto"/>
        <w:right w:val="none" w:sz="0" w:space="0" w:color="auto"/>
      </w:divBdr>
    </w:div>
    <w:div w:id="1805342889">
      <w:bodyDiv w:val="1"/>
      <w:marLeft w:val="0"/>
      <w:marRight w:val="0"/>
      <w:marTop w:val="0"/>
      <w:marBottom w:val="0"/>
      <w:divBdr>
        <w:top w:val="none" w:sz="0" w:space="0" w:color="auto"/>
        <w:left w:val="none" w:sz="0" w:space="0" w:color="auto"/>
        <w:bottom w:val="none" w:sz="0" w:space="0" w:color="auto"/>
        <w:right w:val="none" w:sz="0" w:space="0" w:color="auto"/>
      </w:divBdr>
    </w:div>
    <w:div w:id="1883516440">
      <w:bodyDiv w:val="1"/>
      <w:marLeft w:val="0"/>
      <w:marRight w:val="0"/>
      <w:marTop w:val="0"/>
      <w:marBottom w:val="0"/>
      <w:divBdr>
        <w:top w:val="none" w:sz="0" w:space="0" w:color="auto"/>
        <w:left w:val="none" w:sz="0" w:space="0" w:color="auto"/>
        <w:bottom w:val="none" w:sz="0" w:space="0" w:color="auto"/>
        <w:right w:val="none" w:sz="0" w:space="0" w:color="auto"/>
      </w:divBdr>
    </w:div>
    <w:div w:id="1926650289">
      <w:bodyDiv w:val="1"/>
      <w:marLeft w:val="0"/>
      <w:marRight w:val="0"/>
      <w:marTop w:val="0"/>
      <w:marBottom w:val="0"/>
      <w:divBdr>
        <w:top w:val="none" w:sz="0" w:space="0" w:color="auto"/>
        <w:left w:val="none" w:sz="0" w:space="0" w:color="auto"/>
        <w:bottom w:val="none" w:sz="0" w:space="0" w:color="auto"/>
        <w:right w:val="none" w:sz="0" w:space="0" w:color="auto"/>
      </w:divBdr>
    </w:div>
    <w:div w:id="2014793586">
      <w:bodyDiv w:val="1"/>
      <w:marLeft w:val="0"/>
      <w:marRight w:val="0"/>
      <w:marTop w:val="0"/>
      <w:marBottom w:val="0"/>
      <w:divBdr>
        <w:top w:val="none" w:sz="0" w:space="0" w:color="auto"/>
        <w:left w:val="none" w:sz="0" w:space="0" w:color="auto"/>
        <w:bottom w:val="none" w:sz="0" w:space="0" w:color="auto"/>
        <w:right w:val="none" w:sz="0" w:space="0" w:color="auto"/>
      </w:divBdr>
    </w:div>
    <w:div w:id="2081630766">
      <w:bodyDiv w:val="1"/>
      <w:marLeft w:val="0"/>
      <w:marRight w:val="0"/>
      <w:marTop w:val="0"/>
      <w:marBottom w:val="0"/>
      <w:divBdr>
        <w:top w:val="none" w:sz="0" w:space="0" w:color="auto"/>
        <w:left w:val="none" w:sz="0" w:space="0" w:color="auto"/>
        <w:bottom w:val="none" w:sz="0" w:space="0" w:color="auto"/>
        <w:right w:val="none" w:sz="0" w:space="0" w:color="auto"/>
      </w:divBdr>
    </w:div>
    <w:div w:id="2090275558">
      <w:bodyDiv w:val="1"/>
      <w:marLeft w:val="0"/>
      <w:marRight w:val="0"/>
      <w:marTop w:val="0"/>
      <w:marBottom w:val="0"/>
      <w:divBdr>
        <w:top w:val="none" w:sz="0" w:space="0" w:color="auto"/>
        <w:left w:val="none" w:sz="0" w:space="0" w:color="auto"/>
        <w:bottom w:val="none" w:sz="0" w:space="0" w:color="auto"/>
        <w:right w:val="none" w:sz="0" w:space="0" w:color="auto"/>
      </w:divBdr>
    </w:div>
    <w:div w:id="2132285117">
      <w:bodyDiv w:val="1"/>
      <w:marLeft w:val="0"/>
      <w:marRight w:val="0"/>
      <w:marTop w:val="0"/>
      <w:marBottom w:val="0"/>
      <w:divBdr>
        <w:top w:val="none" w:sz="0" w:space="0" w:color="auto"/>
        <w:left w:val="none" w:sz="0" w:space="0" w:color="auto"/>
        <w:bottom w:val="none" w:sz="0" w:space="0" w:color="auto"/>
        <w:right w:val="none" w:sz="0" w:space="0" w:color="auto"/>
      </w:divBdr>
    </w:div>
    <w:div w:id="2141454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mcnetwork.org.uk/oxfor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ncology.ox.ac.uk/team/andrew-blak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blake@oncology.ox.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ioportal.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5F925312BB4B4CBF50CB51DBEBD1D5" ma:contentTypeVersion="9" ma:contentTypeDescription="Create a new document." ma:contentTypeScope="" ma:versionID="1b6c0a3b5a4be5cf64390bb57124d3b5">
  <xsd:schema xmlns:xsd="http://www.w3.org/2001/XMLSchema" xmlns:xs="http://www.w3.org/2001/XMLSchema" xmlns:p="http://schemas.microsoft.com/office/2006/metadata/properties" xmlns:ns3="212703cb-0f85-416f-8fae-7bb1c5c25f0f" targetNamespace="http://schemas.microsoft.com/office/2006/metadata/properties" ma:root="true" ma:fieldsID="f5146f91b6c4ed6a60574788b1cf7c68" ns3:_="">
    <xsd:import namespace="212703cb-0f85-416f-8fae-7bb1c5c25f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703cb-0f85-416f-8fae-7bb1c5c25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89A88-59FF-4AF2-BD50-4A35351C809E}">
  <ds:schemaRefs>
    <ds:schemaRef ds:uri="http://schemas.microsoft.com/sharepoint/v3/contenttype/forms"/>
  </ds:schemaRefs>
</ds:datastoreItem>
</file>

<file path=customXml/itemProps2.xml><?xml version="1.0" encoding="utf-8"?>
<ds:datastoreItem xmlns:ds="http://schemas.openxmlformats.org/officeDocument/2006/customXml" ds:itemID="{53B97651-F032-40A6-9BA4-2F45792239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83BF70-605A-4E31-A90C-539CEDDEB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703cb-0f85-416f-8fae-7bb1c5c25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B3DA16-199E-4955-B48C-FAD622631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9433</CharactersWithSpaces>
  <SharedDoc>false</SharedDoc>
  <HLinks>
    <vt:vector size="90" baseType="variant">
      <vt:variant>
        <vt:i4>4128867</vt:i4>
      </vt:variant>
      <vt:variant>
        <vt:i4>93</vt:i4>
      </vt:variant>
      <vt:variant>
        <vt:i4>0</vt:i4>
      </vt:variant>
      <vt:variant>
        <vt:i4>5</vt:i4>
      </vt:variant>
      <vt:variant>
        <vt:lpwstr>https://www.gov.uk/government/publications/packaging-and-transport-requirements-for-patient-samples-un3373/packaging-and-transport-requirements-for-patient-samples-un3373</vt:lpwstr>
      </vt:variant>
      <vt:variant>
        <vt:lpwstr/>
      </vt:variant>
      <vt:variant>
        <vt:i4>1835067</vt:i4>
      </vt:variant>
      <vt:variant>
        <vt:i4>80</vt:i4>
      </vt:variant>
      <vt:variant>
        <vt:i4>0</vt:i4>
      </vt:variant>
      <vt:variant>
        <vt:i4>5</vt:i4>
      </vt:variant>
      <vt:variant>
        <vt:lpwstr/>
      </vt:variant>
      <vt:variant>
        <vt:lpwstr>_Toc88557214</vt:lpwstr>
      </vt:variant>
      <vt:variant>
        <vt:i4>1769531</vt:i4>
      </vt:variant>
      <vt:variant>
        <vt:i4>74</vt:i4>
      </vt:variant>
      <vt:variant>
        <vt:i4>0</vt:i4>
      </vt:variant>
      <vt:variant>
        <vt:i4>5</vt:i4>
      </vt:variant>
      <vt:variant>
        <vt:lpwstr/>
      </vt:variant>
      <vt:variant>
        <vt:lpwstr>_Toc88557213</vt:lpwstr>
      </vt:variant>
      <vt:variant>
        <vt:i4>1703995</vt:i4>
      </vt:variant>
      <vt:variant>
        <vt:i4>68</vt:i4>
      </vt:variant>
      <vt:variant>
        <vt:i4>0</vt:i4>
      </vt:variant>
      <vt:variant>
        <vt:i4>5</vt:i4>
      </vt:variant>
      <vt:variant>
        <vt:lpwstr/>
      </vt:variant>
      <vt:variant>
        <vt:lpwstr>_Toc88557212</vt:lpwstr>
      </vt:variant>
      <vt:variant>
        <vt:i4>1638459</vt:i4>
      </vt:variant>
      <vt:variant>
        <vt:i4>62</vt:i4>
      </vt:variant>
      <vt:variant>
        <vt:i4>0</vt:i4>
      </vt:variant>
      <vt:variant>
        <vt:i4>5</vt:i4>
      </vt:variant>
      <vt:variant>
        <vt:lpwstr/>
      </vt:variant>
      <vt:variant>
        <vt:lpwstr>_Toc88557211</vt:lpwstr>
      </vt:variant>
      <vt:variant>
        <vt:i4>1572923</vt:i4>
      </vt:variant>
      <vt:variant>
        <vt:i4>56</vt:i4>
      </vt:variant>
      <vt:variant>
        <vt:i4>0</vt:i4>
      </vt:variant>
      <vt:variant>
        <vt:i4>5</vt:i4>
      </vt:variant>
      <vt:variant>
        <vt:lpwstr/>
      </vt:variant>
      <vt:variant>
        <vt:lpwstr>_Toc88557210</vt:lpwstr>
      </vt:variant>
      <vt:variant>
        <vt:i4>1114170</vt:i4>
      </vt:variant>
      <vt:variant>
        <vt:i4>50</vt:i4>
      </vt:variant>
      <vt:variant>
        <vt:i4>0</vt:i4>
      </vt:variant>
      <vt:variant>
        <vt:i4>5</vt:i4>
      </vt:variant>
      <vt:variant>
        <vt:lpwstr/>
      </vt:variant>
      <vt:variant>
        <vt:lpwstr>_Toc88557209</vt:lpwstr>
      </vt:variant>
      <vt:variant>
        <vt:i4>1048634</vt:i4>
      </vt:variant>
      <vt:variant>
        <vt:i4>44</vt:i4>
      </vt:variant>
      <vt:variant>
        <vt:i4>0</vt:i4>
      </vt:variant>
      <vt:variant>
        <vt:i4>5</vt:i4>
      </vt:variant>
      <vt:variant>
        <vt:lpwstr/>
      </vt:variant>
      <vt:variant>
        <vt:lpwstr>_Toc88557208</vt:lpwstr>
      </vt:variant>
      <vt:variant>
        <vt:i4>2031674</vt:i4>
      </vt:variant>
      <vt:variant>
        <vt:i4>38</vt:i4>
      </vt:variant>
      <vt:variant>
        <vt:i4>0</vt:i4>
      </vt:variant>
      <vt:variant>
        <vt:i4>5</vt:i4>
      </vt:variant>
      <vt:variant>
        <vt:lpwstr/>
      </vt:variant>
      <vt:variant>
        <vt:lpwstr>_Toc88557207</vt:lpwstr>
      </vt:variant>
      <vt:variant>
        <vt:i4>1966138</vt:i4>
      </vt:variant>
      <vt:variant>
        <vt:i4>32</vt:i4>
      </vt:variant>
      <vt:variant>
        <vt:i4>0</vt:i4>
      </vt:variant>
      <vt:variant>
        <vt:i4>5</vt:i4>
      </vt:variant>
      <vt:variant>
        <vt:lpwstr/>
      </vt:variant>
      <vt:variant>
        <vt:lpwstr>_Toc88557206</vt:lpwstr>
      </vt:variant>
      <vt:variant>
        <vt:i4>1900602</vt:i4>
      </vt:variant>
      <vt:variant>
        <vt:i4>26</vt:i4>
      </vt:variant>
      <vt:variant>
        <vt:i4>0</vt:i4>
      </vt:variant>
      <vt:variant>
        <vt:i4>5</vt:i4>
      </vt:variant>
      <vt:variant>
        <vt:lpwstr/>
      </vt:variant>
      <vt:variant>
        <vt:lpwstr>_Toc88557205</vt:lpwstr>
      </vt:variant>
      <vt:variant>
        <vt:i4>1835066</vt:i4>
      </vt:variant>
      <vt:variant>
        <vt:i4>20</vt:i4>
      </vt:variant>
      <vt:variant>
        <vt:i4>0</vt:i4>
      </vt:variant>
      <vt:variant>
        <vt:i4>5</vt:i4>
      </vt:variant>
      <vt:variant>
        <vt:lpwstr/>
      </vt:variant>
      <vt:variant>
        <vt:lpwstr>_Toc88557204</vt:lpwstr>
      </vt:variant>
      <vt:variant>
        <vt:i4>1769530</vt:i4>
      </vt:variant>
      <vt:variant>
        <vt:i4>14</vt:i4>
      </vt:variant>
      <vt:variant>
        <vt:i4>0</vt:i4>
      </vt:variant>
      <vt:variant>
        <vt:i4>5</vt:i4>
      </vt:variant>
      <vt:variant>
        <vt:lpwstr/>
      </vt:variant>
      <vt:variant>
        <vt:lpwstr>_Toc88557203</vt:lpwstr>
      </vt:variant>
      <vt:variant>
        <vt:i4>1703994</vt:i4>
      </vt:variant>
      <vt:variant>
        <vt:i4>8</vt:i4>
      </vt:variant>
      <vt:variant>
        <vt:i4>0</vt:i4>
      </vt:variant>
      <vt:variant>
        <vt:i4>5</vt:i4>
      </vt:variant>
      <vt:variant>
        <vt:lpwstr/>
      </vt:variant>
      <vt:variant>
        <vt:lpwstr>_Toc88557202</vt:lpwstr>
      </vt:variant>
      <vt:variant>
        <vt:i4>1638458</vt:i4>
      </vt:variant>
      <vt:variant>
        <vt:i4>2</vt:i4>
      </vt:variant>
      <vt:variant>
        <vt:i4>0</vt:i4>
      </vt:variant>
      <vt:variant>
        <vt:i4>5</vt:i4>
      </vt:variant>
      <vt:variant>
        <vt:lpwstr/>
      </vt:variant>
      <vt:variant>
        <vt:lpwstr>_Toc88557201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McCullagh</dc:creator>
  <cp:keywords/>
  <dc:description/>
  <cp:lastModifiedBy>Susannah Cronin</cp:lastModifiedBy>
  <cp:revision>2</cp:revision>
  <cp:lastPrinted>2021-11-17T11:04:00Z</cp:lastPrinted>
  <dcterms:created xsi:type="dcterms:W3CDTF">2024-06-06T14:28:00Z</dcterms:created>
  <dcterms:modified xsi:type="dcterms:W3CDTF">2024-06-06T14:28:00Z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0x0101008B5F925312BB4B4CBF50CB51DBEBD1D5</vt:lpwstr>
  </property>
  <property fmtid="{D5CDD505-2E9C-101B-9397-08002B2CF9AE}" pid="3" name="GrammarlyDocumentId">
    <vt:lpwstr>cc7bb5b228d8f4d4f6d2889a2ce39840df53c47453955dc44286d17e3da9fbc4</vt:lpwstr>
  </property>
</Properties>
</file>