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E57D9" w14:textId="6D60B34B" w:rsidR="003A5E76" w:rsidRDefault="002335C1" w:rsidP="00706881">
      <w:pPr>
        <w:pStyle w:val="Heading1"/>
        <w:numPr>
          <w:ilvl w:val="0"/>
          <w:numId w:val="0"/>
        </w:numPr>
        <w:ind w:left="66"/>
      </w:pPr>
      <w:bookmarkStart w:id="0" w:name="_Toc55992266"/>
      <w:r>
        <w:t xml:space="preserve">8. </w:t>
      </w:r>
      <w:r w:rsidR="00706881" w:rsidRPr="00706881">
        <w:t>The interaction between myofibroblasts and epithelial cells in the colorectal cancer microenvironment</w:t>
      </w:r>
      <w:r w:rsidR="003A5E76">
        <w:t xml:space="preserve"> – </w:t>
      </w:r>
      <w:r w:rsidR="00706881">
        <w:t>Prof</w:t>
      </w:r>
      <w:r w:rsidR="003A5E76">
        <w:t xml:space="preserve">. </w:t>
      </w:r>
      <w:r w:rsidR="00706881">
        <w:t>Walter</w:t>
      </w:r>
      <w:r w:rsidR="003A5E76">
        <w:t xml:space="preserve"> </w:t>
      </w:r>
      <w:bookmarkEnd w:id="0"/>
      <w:proofErr w:type="spellStart"/>
      <w:r w:rsidR="00706881">
        <w:t>Bodmer</w:t>
      </w:r>
      <w:proofErr w:type="spellEnd"/>
    </w:p>
    <w:p w14:paraId="08ECDBB4" w14:textId="77777777" w:rsidR="003A5E76" w:rsidRDefault="003A5E76" w:rsidP="003A5E76">
      <w:pPr>
        <w:pStyle w:val="Heading2"/>
      </w:pPr>
    </w:p>
    <w:p w14:paraId="01B540E4" w14:textId="77777777" w:rsidR="003A5E76" w:rsidRDefault="003A5E76" w:rsidP="003A5E76">
      <w:pPr>
        <w:pStyle w:val="Heading2"/>
      </w:pPr>
      <w:r>
        <w:t>Research Interests</w:t>
      </w:r>
    </w:p>
    <w:p w14:paraId="5E1BB855" w14:textId="77777777" w:rsidR="00706881" w:rsidRDefault="00706881" w:rsidP="00706881"/>
    <w:p w14:paraId="687B8B0A" w14:textId="77777777" w:rsidR="00706881" w:rsidRDefault="00706881" w:rsidP="00706881">
      <w:pPr>
        <w:jc w:val="both"/>
      </w:pPr>
      <w:r>
        <w:t xml:space="preserve">The </w:t>
      </w:r>
      <w:proofErr w:type="spellStart"/>
      <w:r>
        <w:t>bodmer</w:t>
      </w:r>
      <w:proofErr w:type="spellEnd"/>
      <w:r>
        <w:t xml:space="preserve"> laboratory has two primary interests in colorectal cancer research.</w:t>
      </w:r>
    </w:p>
    <w:p w14:paraId="4C257270" w14:textId="77777777" w:rsidR="00706881" w:rsidRDefault="00706881" w:rsidP="00706881">
      <w:pPr>
        <w:pStyle w:val="ListParagraph"/>
        <w:numPr>
          <w:ilvl w:val="0"/>
          <w:numId w:val="2"/>
        </w:numPr>
        <w:jc w:val="both"/>
      </w:pPr>
      <w:r>
        <w:t xml:space="preserve">Differentiation in colorectal cancer: We use an extensively characterised panel of more than 100 colorectal cancer (CRC) derived cell lines, together with organoid cultures from primary CRCs, for in vitro studies of the control of differentiation, and patient derived myofibroblast (MFs) cell lines in co-culture with the CRC cell lines to study MF/epithelial interactions in the cancer microenvironment. Our special interests are in the control of goblet cell differentiation and the interaction between myofibroblasts and epithelial cells. </w:t>
      </w:r>
    </w:p>
    <w:p w14:paraId="06BCAE04" w14:textId="00D6D13B" w:rsidR="00706881" w:rsidRDefault="00706881" w:rsidP="00706881">
      <w:pPr>
        <w:pStyle w:val="ListParagraph"/>
        <w:numPr>
          <w:ilvl w:val="0"/>
          <w:numId w:val="2"/>
        </w:numPr>
        <w:jc w:val="both"/>
      </w:pPr>
      <w:r>
        <w:t xml:space="preserve">Pre-clinical development of Bispecific T cell attracting monoclonal antibodies (MCAs) for cancer immunotherapy: DNA recombinant technology enables the production of MCAs that target cancer specific determinants and immune cells, attracting them to the cancer cells and so killing them.  MCAs can now be produced that target intra-cellular proteins through attaching to protein fragments attached to HLA system proteins on the cell surface. This enables production of bispecific antibodies that kill cancer cells by recognition of intra cellular as well as surface proteins. This project, which is carried out with commercial collaborators, involves the production and characterisation of such antibodies and their preclinical testing on our panel of colorectal cancer derived cell lines. </w:t>
      </w:r>
    </w:p>
    <w:p w14:paraId="126FEB87" w14:textId="0F6C91D8" w:rsidR="003A5E76" w:rsidRDefault="00706881" w:rsidP="00706881">
      <w:pPr>
        <w:jc w:val="both"/>
      </w:pPr>
      <w:r>
        <w:t>We also develop novel bioinformatic approaches to the analysis of cancer mRNA expression profiles and single cell mRNA expression data. Another area of interest is in the general analysis of polygenic inheritance of cancer susceptibility.</w:t>
      </w:r>
    </w:p>
    <w:p w14:paraId="6AAB56F5" w14:textId="77777777" w:rsidR="003A5E76" w:rsidRDefault="003A5E76" w:rsidP="003A5E76"/>
    <w:p w14:paraId="4A33E8B1" w14:textId="77777777" w:rsidR="003A5E76" w:rsidRDefault="003A5E76" w:rsidP="003A5E76"/>
    <w:p w14:paraId="4472B986" w14:textId="77777777" w:rsidR="003A5E76" w:rsidRDefault="003A5E76" w:rsidP="003A5E76">
      <w:pPr>
        <w:pStyle w:val="Heading2"/>
      </w:pPr>
      <w:r>
        <w:t>Project</w:t>
      </w:r>
    </w:p>
    <w:p w14:paraId="3BF86942" w14:textId="77777777" w:rsidR="00706881" w:rsidRDefault="00706881" w:rsidP="00706881">
      <w:pPr>
        <w:ind w:firstLine="720"/>
        <w:jc w:val="both"/>
      </w:pPr>
    </w:p>
    <w:p w14:paraId="5DB125B0" w14:textId="18C0EAB2" w:rsidR="00706881" w:rsidRDefault="00706881" w:rsidP="00706881">
      <w:pPr>
        <w:ind w:firstLine="720"/>
        <w:jc w:val="both"/>
      </w:pPr>
      <w:r>
        <w:t xml:space="preserve">Myofibroblasts (MFs) are the mesenchymal cells that surround the crypts in the large bowel. MFs play a major role in the normal homeostasis of the colonic crypt epithelial cell turnover and are key cells in the determination of the CRC tumour microenvironment (TME). When in the TME, MFs are often referred to as ‘Cancer Associated Fibroblasts’ or CAFs, but they are quite distinct from the more familiar skin fibroblasts. Our previous published work has identified key markers of MFs, including the transcription factor NKX2-3, that distinguish MFs from skin fibroblasts, and has also established some of the factors that activate MFs in the TME. There is also strong evidence for positive pro-tumorigenic interactions between MFs and tumour epithelial cells. We have done preliminary studies on the interaction between MF cultures, using CCD 18Co (from ATCC) and a subset of more than 20 MF cultures we have derived from cancer and normal bowel obtained from CRC biopsies, and various of our CRC cell lines. Using various assays for migration, in particular in </w:t>
      </w:r>
      <w:proofErr w:type="spellStart"/>
      <w:r>
        <w:t>matrigel</w:t>
      </w:r>
      <w:proofErr w:type="spellEnd"/>
      <w:r>
        <w:t xml:space="preserve">, and for co-stimulation of epithelial cell division or differentiation, we have begun to identify factors and their receptors that mediate these interactions. In order to facilitate these studies, we have developed a serum free fully defined medium that sustains MF but not epithelial cell cultures. </w:t>
      </w:r>
      <w:r>
        <w:lastRenderedPageBreak/>
        <w:t xml:space="preserve">The proposed project is a continuation and extension of our studies on MF/epithelial cell interactions with a view to full identification of the factors, and their receptors, that mediate these interactions, and the possibility of developing therapies that specifically block these interactions. </w:t>
      </w:r>
    </w:p>
    <w:p w14:paraId="6FFFC35A" w14:textId="77777777" w:rsidR="00706881" w:rsidRDefault="00706881" w:rsidP="00706881">
      <w:pPr>
        <w:ind w:firstLine="720"/>
        <w:jc w:val="both"/>
      </w:pPr>
    </w:p>
    <w:p w14:paraId="41F63B8C" w14:textId="77777777" w:rsidR="00706881" w:rsidRPr="00706881" w:rsidRDefault="00706881" w:rsidP="00706881">
      <w:pPr>
        <w:jc w:val="both"/>
        <w:rPr>
          <w:i/>
          <w:iCs/>
          <w:u w:val="single"/>
        </w:rPr>
      </w:pPr>
      <w:r w:rsidRPr="00706881">
        <w:rPr>
          <w:i/>
          <w:iCs/>
          <w:u w:val="single"/>
        </w:rPr>
        <w:t>Outline of Proposed Experiments</w:t>
      </w:r>
    </w:p>
    <w:p w14:paraId="1E573A69" w14:textId="77777777" w:rsidR="00706881" w:rsidRDefault="00706881" w:rsidP="00706881">
      <w:pPr>
        <w:ind w:firstLine="720"/>
        <w:jc w:val="both"/>
      </w:pPr>
      <w:r>
        <w:t xml:space="preserve">Extend tests of epithelial cell induction of MF migration into </w:t>
      </w:r>
      <w:proofErr w:type="spellStart"/>
      <w:r>
        <w:t>matrigel</w:t>
      </w:r>
      <w:proofErr w:type="spellEnd"/>
      <w:r>
        <w:t xml:space="preserve"> containing epithelial cells using a wider range of both MF and CRC lines. Only a subset of the CRC lines induces such migration and by analysis of mutation and mRNA expression in the CRC lines we can determine which MF factors are likely candidates for this induction. Using inhibitors of known factors or knock down of the factors or their receptors we can then confirm which are the effectors of the migration and identify the corresponding receptors on the MFs.  We will also test the variation in the response of different MF cultures with a view to establishing the nature of the MF activation by the epithelial cells, and so the proper definition of CAFs.</w:t>
      </w:r>
    </w:p>
    <w:p w14:paraId="13688BBD" w14:textId="77777777" w:rsidR="00706881" w:rsidRDefault="00706881" w:rsidP="00706881">
      <w:pPr>
        <w:ind w:firstLine="720"/>
        <w:jc w:val="both"/>
      </w:pPr>
    </w:p>
    <w:p w14:paraId="2CC590FA" w14:textId="77777777" w:rsidR="00706881" w:rsidRDefault="00706881" w:rsidP="00706881">
      <w:pPr>
        <w:ind w:firstLine="720"/>
        <w:jc w:val="both"/>
      </w:pPr>
      <w:r>
        <w:t>Similar co-culture experiments can assess the effect of MFs on the growth or differentiation of   the different CRC lines. This takes advantage of the MF specific defined medium which does not support the growth of most of the CRC lines. Such co-culture in suitable well-defined serum free media can be used to evaluate the effect of appropriate antagonists against any relevant identified factors or receptors.</w:t>
      </w:r>
    </w:p>
    <w:p w14:paraId="32578CF4" w14:textId="77777777" w:rsidR="00706881" w:rsidRDefault="00706881" w:rsidP="00706881">
      <w:pPr>
        <w:ind w:firstLine="720"/>
        <w:jc w:val="both"/>
      </w:pPr>
    </w:p>
    <w:p w14:paraId="63C74714" w14:textId="77777777" w:rsidR="00706881" w:rsidRDefault="00706881" w:rsidP="00706881">
      <w:pPr>
        <w:ind w:firstLine="720"/>
        <w:jc w:val="both"/>
      </w:pPr>
      <w:r>
        <w:t>To support these studies, we will determine the expression profiles of our MF cultures using RNA/Seq. We will also search for mutual induction of novel expressions in both CRC lines and MF cultures in different combinations of co-culture, both by bulk RNA/</w:t>
      </w:r>
      <w:proofErr w:type="spellStart"/>
      <w:r>
        <w:t>seq</w:t>
      </w:r>
      <w:proofErr w:type="spellEnd"/>
      <w:r>
        <w:t xml:space="preserve"> on separated MFs and epithelial cells and by single cell mRNA analysis. MF cells and epithelial cells can easily be distinguished by suitable cell type markers at both the mRNA and protein levels. The single cell analysis enables the identification of cellular heterogeneity in the CRC lines, which is mostly not due to genetic variation. Further study of expressions at the protein level will be carried out using immunofluorescence (IF) and FACS analysis with appropriate antibodies.</w:t>
      </w:r>
    </w:p>
    <w:p w14:paraId="6EFEAD51" w14:textId="77777777" w:rsidR="00706881" w:rsidRDefault="00706881" w:rsidP="00706881">
      <w:pPr>
        <w:ind w:firstLine="720"/>
        <w:jc w:val="both"/>
      </w:pPr>
    </w:p>
    <w:p w14:paraId="2B9E52D8" w14:textId="1C6A820F" w:rsidR="00770397" w:rsidRDefault="00706881" w:rsidP="00706881">
      <w:pPr>
        <w:ind w:firstLine="720"/>
        <w:jc w:val="both"/>
      </w:pPr>
      <w:r>
        <w:t xml:space="preserve">Some of the above studies will be done on organoids derived from fresh tumour biopsies, both some already isolated and new ones. These will also need to be characterised for mRNA expression by RNA/seq. Single cell mRNA analysis will be done on fresh tumour biopsy material from a range of different patients to match MF and epithelial expression patterns with our cell culture results. Such analyses will also help characterise other cells in the TME, notably tumour resident macrophages. Fresh and fixed tumour specimens will also be investigated by IF for expression of proteins identified by the cell co-culture experiments. </w:t>
      </w:r>
      <w:proofErr w:type="spellStart"/>
      <w:r>
        <w:t>RNAscope</w:t>
      </w:r>
      <w:proofErr w:type="spellEnd"/>
      <w:r>
        <w:t xml:space="preserve"> can also be used for in situ analysis of selected mRNAs of interest. There is good evidence that MFs in the TME may antagonise immune mediated cellular killing of tumour cells through expression of PDL-1 and other T cell activation blockers. We can investigate this in our in vitro antibody mediated killing assays of our CRC lines by seeing whether adding MFs to the cell line /PBMC effector cell mixture inhibits cell killing. Then we can investigate the possibility of antagonising this effect by the addition of check point blocking antibodies, such as anti-PDL1 to the mixture.</w:t>
      </w:r>
    </w:p>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12C60"/>
    <w:multiLevelType w:val="hybridMultilevel"/>
    <w:tmpl w:val="10726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44CF6"/>
    <w:multiLevelType w:val="hybridMultilevel"/>
    <w:tmpl w:val="D96A36E8"/>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2335C1"/>
    <w:rsid w:val="003A5E76"/>
    <w:rsid w:val="005A4B1F"/>
    <w:rsid w:val="00700F4C"/>
    <w:rsid w:val="00706881"/>
    <w:rsid w:val="00770397"/>
    <w:rsid w:val="007B0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76"/>
  </w:style>
  <w:style w:type="paragraph" w:styleId="Heading1">
    <w:name w:val="heading 1"/>
    <w:basedOn w:val="Heading2"/>
    <w:link w:val="Heading1Char"/>
    <w:uiPriority w:val="9"/>
    <w:qFormat/>
    <w:rsid w:val="003A5E76"/>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3A5E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E76"/>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3A5E76"/>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A5E76"/>
    <w:rPr>
      <w:i/>
      <w:iCs/>
    </w:rPr>
  </w:style>
  <w:style w:type="paragraph" w:styleId="ListParagraph">
    <w:name w:val="List Paragraph"/>
    <w:basedOn w:val="Normal"/>
    <w:uiPriority w:val="34"/>
    <w:qFormat/>
    <w:rsid w:val="00706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3</cp:revision>
  <dcterms:created xsi:type="dcterms:W3CDTF">2020-11-12T08:08:00Z</dcterms:created>
  <dcterms:modified xsi:type="dcterms:W3CDTF">2020-11-12T08:46:00Z</dcterms:modified>
</cp:coreProperties>
</file>