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0CABA" w14:textId="55741508" w:rsidR="000F6888" w:rsidRPr="00B75B6F" w:rsidRDefault="000F6888" w:rsidP="000F6888">
      <w:pPr>
        <w:pStyle w:val="Heading1"/>
        <w:numPr>
          <w:ilvl w:val="0"/>
          <w:numId w:val="5"/>
        </w:numPr>
      </w:pPr>
      <w:bookmarkStart w:id="0" w:name="_Toc55992272"/>
      <w:r w:rsidRPr="00B75B6F">
        <w:rPr>
          <w:noProof/>
        </w:rPr>
        <w:t>(WINDOW-101): A window of opportunity, biomarker discovery study of CXD101 +/- Nivolumab in patients with operable microsatellite stable colorectal cancer</w:t>
      </w:r>
      <w:r>
        <w:rPr>
          <w:noProof/>
        </w:rPr>
        <w:t xml:space="preserve"> – Prof. Rachel Kerr</w:t>
      </w:r>
      <w:bookmarkEnd w:id="0"/>
    </w:p>
    <w:p w14:paraId="255E4CCA" w14:textId="77777777" w:rsidR="000F6888" w:rsidRPr="007A4608" w:rsidRDefault="000F6888" w:rsidP="000F6888">
      <w:pPr>
        <w:pStyle w:val="Heading2"/>
        <w:rPr>
          <w:sz w:val="24"/>
          <w:szCs w:val="24"/>
        </w:rPr>
      </w:pPr>
      <w:r w:rsidRPr="007A4608">
        <w:rPr>
          <w:sz w:val="24"/>
          <w:szCs w:val="24"/>
        </w:rPr>
        <w:t>Research Interests</w:t>
      </w:r>
    </w:p>
    <w:p w14:paraId="2DB4A7BE" w14:textId="77777777" w:rsidR="000F6888" w:rsidRDefault="000F6888" w:rsidP="000F6888">
      <w:pPr>
        <w:ind w:firstLine="720"/>
        <w:jc w:val="both"/>
      </w:pPr>
    </w:p>
    <w:p w14:paraId="0693ED02" w14:textId="77777777" w:rsidR="000F6888" w:rsidRPr="007A4608" w:rsidRDefault="000F6888" w:rsidP="000F6888">
      <w:pPr>
        <w:ind w:firstLine="720"/>
        <w:jc w:val="both"/>
      </w:pPr>
      <w:r w:rsidRPr="007A4608">
        <w:t xml:space="preserve">Rachel holds a UK Department of Health Fellowship, and is Clinical Director of the Phase 3 Trials at the Oncology Clinical Trials Office (OCTO) based within the Department. OCTO aims to drive the practical application of high-quality clinical research into innovative and effective cancer therapies and prevention strategies and has recruited almost 10,000 patients into clinical trials in the past 10 years. This study aims to determine what effect treatment with the Class I HDAC inhibitor CXD101 +\- the anti-PD1 inhibitor Nivolumab has upon immune biomarker expression in pre and post-surgical colorectal cancer biopsies, healthy colonic tissue and peripheral blood in patients with microsatellite stable colorectal cancer.  This will build upon existing pre-clinical data to provide mechanistic understanding of the effects of these drugs upon the anti-tumour immune response in patients and help to identify potential biomarkers of activity which might permit selection of a subset of advanced colorectal cancer patients more likely to respond to treatment. If successful, this would provide evidence to support taking this treatment combination, which has previously shown encouraging results in a phase </w:t>
      </w:r>
      <w:proofErr w:type="spellStart"/>
      <w:r w:rsidRPr="007A4608">
        <w:t>Ib</w:t>
      </w:r>
      <w:proofErr w:type="spellEnd"/>
      <w:r w:rsidRPr="007A4608">
        <w:t>/II study, forward to a larger phase III study to validate the biomarker/drug combination in the metastatic setting.</w:t>
      </w:r>
    </w:p>
    <w:p w14:paraId="73F8160D" w14:textId="77777777" w:rsidR="000F6888" w:rsidRDefault="000F6888" w:rsidP="000F6888">
      <w:pPr>
        <w:jc w:val="both"/>
      </w:pPr>
    </w:p>
    <w:p w14:paraId="0F72F6FF" w14:textId="77777777" w:rsidR="000F6888" w:rsidRPr="007A4608" w:rsidRDefault="000F6888" w:rsidP="000F6888">
      <w:pPr>
        <w:jc w:val="both"/>
      </w:pPr>
    </w:p>
    <w:p w14:paraId="487A5B4B" w14:textId="77777777" w:rsidR="000F6888" w:rsidRPr="007A4608" w:rsidRDefault="000F6888" w:rsidP="000F6888">
      <w:pPr>
        <w:pStyle w:val="Heading2"/>
        <w:rPr>
          <w:sz w:val="24"/>
          <w:szCs w:val="24"/>
        </w:rPr>
      </w:pPr>
      <w:r w:rsidRPr="007A4608">
        <w:rPr>
          <w:sz w:val="24"/>
          <w:szCs w:val="24"/>
        </w:rPr>
        <w:t>Project</w:t>
      </w:r>
    </w:p>
    <w:p w14:paraId="190D311A" w14:textId="77777777" w:rsidR="000F6888" w:rsidRDefault="000F6888" w:rsidP="000F6888">
      <w:pPr>
        <w:ind w:firstLine="720"/>
        <w:jc w:val="both"/>
        <w:rPr>
          <w:rFonts w:cstheme="minorHAnsi"/>
          <w:noProof/>
        </w:rPr>
      </w:pPr>
    </w:p>
    <w:p w14:paraId="2A2178A8" w14:textId="77777777" w:rsidR="000F6888" w:rsidRDefault="000F6888" w:rsidP="000F6888">
      <w:pPr>
        <w:ind w:firstLine="720"/>
        <w:jc w:val="both"/>
        <w:rPr>
          <w:rFonts w:cstheme="minorHAnsi"/>
          <w:noProof/>
        </w:rPr>
      </w:pPr>
      <w:r w:rsidRPr="007A4608">
        <w:rPr>
          <w:rFonts w:cstheme="minorHAnsi"/>
          <w:noProof/>
        </w:rPr>
        <w:t>Colorectal cancer is the third most common tumour in the world with over a million new cases annually and around 500,000 deaths. There is a relatively limited drug compendium to treat this disease when it progresses beyond 1</w:t>
      </w:r>
      <w:r w:rsidRPr="007A4608">
        <w:rPr>
          <w:rFonts w:cstheme="minorHAnsi"/>
          <w:noProof/>
          <w:vertAlign w:val="superscript"/>
        </w:rPr>
        <w:t>st</w:t>
      </w:r>
      <w:r w:rsidRPr="007A4608">
        <w:rPr>
          <w:rFonts w:cstheme="minorHAnsi"/>
          <w:noProof/>
        </w:rPr>
        <w:t xml:space="preserve"> and 2</w:t>
      </w:r>
      <w:r w:rsidRPr="007A4608">
        <w:rPr>
          <w:rFonts w:cstheme="minorHAnsi"/>
          <w:noProof/>
          <w:vertAlign w:val="superscript"/>
        </w:rPr>
        <w:t>nd</w:t>
      </w:r>
      <w:r w:rsidRPr="007A4608">
        <w:rPr>
          <w:rFonts w:cstheme="minorHAnsi"/>
          <w:noProof/>
        </w:rPr>
        <w:t xml:space="preserve"> line chemotherapy/antibody combinations, and in the third line setting, patients have an untreated life expectancy of 3-6 months, while exposure to Lonsurf (or regorafenib, the other agent licensed, but not NICE approved) buys an extra 6-8 weeks of life. More effective treatment options are urgently needed to improve survival in this patient group. Checkpoint inhibitor based cancer immunotherapy has been shown to be successful in the treatment of metastatic colorectal cancer (mCRC) with microsatellite instability (MSI) producing durable objective responses. However the vast majority of mCRCs (95%) are microsatellite stable (MSS) and these have proven unresponsive to such treatment approaches. Various mechanisms by which cancer cells evade immune surveillance and mechanisms of resistance to checkpoint blockade have been identified (eg downregulation of MHC and infiltration with Treg cells).</w:t>
      </w:r>
    </w:p>
    <w:p w14:paraId="611E8013" w14:textId="77777777" w:rsidR="000F6888" w:rsidRPr="007A4608" w:rsidRDefault="000F6888" w:rsidP="000F6888">
      <w:pPr>
        <w:ind w:firstLine="720"/>
        <w:jc w:val="both"/>
        <w:rPr>
          <w:rFonts w:cstheme="minorHAnsi"/>
          <w:noProof/>
        </w:rPr>
      </w:pPr>
    </w:p>
    <w:p w14:paraId="6A2437D6" w14:textId="77777777" w:rsidR="000F6888" w:rsidRPr="007A4608" w:rsidRDefault="000F6888" w:rsidP="000F6888">
      <w:pPr>
        <w:ind w:firstLine="720"/>
        <w:jc w:val="both"/>
        <w:rPr>
          <w:rFonts w:cstheme="minorHAnsi"/>
          <w:noProof/>
        </w:rPr>
      </w:pPr>
      <w:r w:rsidRPr="007A4608">
        <w:rPr>
          <w:rFonts w:cstheme="minorHAnsi"/>
          <w:noProof/>
        </w:rPr>
        <w:t xml:space="preserve">Strategies which increase tumour antigen expression, processing and presentation, as well as increasing effector T cell infiltration into tumours have been postulated as a potential way to enhance responses to PD-1 blockade.  Histone deacetylase inhibitors (HDACi) have been shown to be capable of inducing expression of chemokines required for T cell recruitment into tumours, reducing the numbers of regulatory T cells, and increasing the expression of MHC required for antigen presentation. They can also increase expression of </w:t>
      </w:r>
      <w:r w:rsidRPr="007A4608">
        <w:rPr>
          <w:rFonts w:cstheme="minorHAnsi"/>
          <w:noProof/>
        </w:rPr>
        <w:lastRenderedPageBreak/>
        <w:t xml:space="preserve">tumour antigens recognised by cytotoxic T lymphocytes (CTLs) and ligands for NK activating receptors. As such, there is a compelling rationale for combining HDACi with anti-PD1 therapy in MSS colorectal cancer in order to potentially overcome resistance mechanisms and improve sensitivity to anti-PD1 therapy in this group of patients who do not currently benefit from immunotherapy treatment. </w:t>
      </w:r>
    </w:p>
    <w:p w14:paraId="0A7EEBE8" w14:textId="77777777" w:rsidR="000F6888" w:rsidRDefault="000F6888" w:rsidP="000F6888">
      <w:pPr>
        <w:jc w:val="both"/>
        <w:rPr>
          <w:rFonts w:cstheme="minorHAnsi"/>
          <w:noProof/>
        </w:rPr>
      </w:pPr>
    </w:p>
    <w:p w14:paraId="422CCA9E" w14:textId="77777777" w:rsidR="000F6888" w:rsidRPr="007A4608" w:rsidRDefault="000F6888" w:rsidP="000F6888">
      <w:pPr>
        <w:ind w:firstLine="720"/>
        <w:jc w:val="both"/>
        <w:rPr>
          <w:rFonts w:cstheme="minorHAnsi"/>
          <w:noProof/>
        </w:rPr>
      </w:pPr>
      <w:r w:rsidRPr="007A4608">
        <w:rPr>
          <w:rFonts w:cstheme="minorHAnsi"/>
          <w:noProof/>
        </w:rPr>
        <w:t>The anti-tumour efficacy of the HDACi CXD101 as monotherapy or in combination with the immune checkpoint inhibitors anti-mouse PD-1 and anti-mouse CTLA4, respectively, was studied in the syngeneic MSS colorectal tumour xenograft model Colon 26 which was implanted subcutaneously in immunocompetent BALB/c mice. When CXD101 was administered in combination with anti-PD1 or anti-CTLA4, synergistic anti-tumour activity was observed at well tolerated doses.</w:t>
      </w:r>
    </w:p>
    <w:p w14:paraId="4B65F719" w14:textId="77777777" w:rsidR="000F6888" w:rsidRDefault="000F6888" w:rsidP="000F6888">
      <w:pPr>
        <w:ind w:firstLine="720"/>
        <w:jc w:val="both"/>
        <w:rPr>
          <w:rFonts w:cstheme="minorHAnsi"/>
          <w:noProof/>
        </w:rPr>
      </w:pPr>
    </w:p>
    <w:p w14:paraId="21C562E9" w14:textId="77777777" w:rsidR="000F6888" w:rsidRPr="007A4608" w:rsidRDefault="000F6888" w:rsidP="000F6888">
      <w:pPr>
        <w:ind w:firstLine="720"/>
        <w:jc w:val="both"/>
        <w:rPr>
          <w:rFonts w:cstheme="minorHAnsi"/>
          <w:b/>
          <w:bCs/>
        </w:rPr>
      </w:pPr>
      <w:r w:rsidRPr="007A4608">
        <w:rPr>
          <w:rFonts w:cstheme="minorHAnsi"/>
          <w:noProof/>
        </w:rPr>
        <w:t>Interim data from a phase II study of CXD101 + Nivolumab in patients with metastatic MSS colorectal cancer previously treated with two or more lines of chemotherapy, showed objective responses in 6% of patients with a disease control rate of 54%. This compares favourably with other licensed 3</w:t>
      </w:r>
      <w:r w:rsidRPr="007A4608">
        <w:rPr>
          <w:rFonts w:cstheme="minorHAnsi"/>
          <w:noProof/>
          <w:vertAlign w:val="superscript"/>
        </w:rPr>
        <w:t>rd</w:t>
      </w:r>
      <w:r w:rsidRPr="007A4608">
        <w:rPr>
          <w:rFonts w:cstheme="minorHAnsi"/>
          <w:noProof/>
        </w:rPr>
        <w:t xml:space="preserve"> line treatments for patients in this setting such as Lonsurf (objective response rate 1.6%, disease control rate 44%).  In addition, the HDACi/immune checkpoint inhibitor combination is well tolerated and has a superior safety profile compared to Lonsurf.  </w:t>
      </w:r>
    </w:p>
    <w:p w14:paraId="2C703C8B" w14:textId="77777777" w:rsidR="000F6888" w:rsidRDefault="000F6888" w:rsidP="000F6888">
      <w:pPr>
        <w:ind w:firstLine="720"/>
        <w:jc w:val="both"/>
        <w:rPr>
          <w:rFonts w:cstheme="minorHAnsi"/>
          <w:noProof/>
        </w:rPr>
      </w:pPr>
    </w:p>
    <w:p w14:paraId="68CF674D" w14:textId="77777777" w:rsidR="000F6888" w:rsidRPr="007A4608" w:rsidRDefault="000F6888" w:rsidP="000F6888">
      <w:pPr>
        <w:ind w:firstLine="720"/>
        <w:jc w:val="both"/>
        <w:rPr>
          <w:rFonts w:cstheme="minorHAnsi"/>
          <w:noProof/>
        </w:rPr>
      </w:pPr>
      <w:r w:rsidRPr="007A4608">
        <w:rPr>
          <w:rFonts w:cstheme="minorHAnsi"/>
          <w:noProof/>
        </w:rPr>
        <w:t xml:space="preserve">Further understanding of the effects of these drugs </w:t>
      </w:r>
      <w:r w:rsidRPr="007A4608">
        <w:rPr>
          <w:rFonts w:cstheme="minorHAnsi"/>
          <w:i/>
          <w:iCs/>
          <w:noProof/>
        </w:rPr>
        <w:t>in vivo</w:t>
      </w:r>
      <w:r w:rsidRPr="007A4608">
        <w:rPr>
          <w:rFonts w:cstheme="minorHAnsi"/>
          <w:noProof/>
        </w:rPr>
        <w:t xml:space="preserve"> upon the immune response and identification of biomarkers of activitiy are required in order to support further development of this combination in the clinical setting. Our proposed window of opportunity study will enable us to obtain tumour and blood samples before treatment at the time of diagnostic biopsy.  Patients will then be treated with CXD101 +/- Nivolumab whilst awaiting their definitive surgical resection.  Further tumour and blood samples will be obtained from the resection specimen allowing us to ascertain the direct effects of the treatment upon antigen presentation, immune cell infiltration and phenotype and the treatment induced immune response.  This will be used to build on the existing clinical data generated by Celleron in relation to the mechanisms of treatment effect and provide indicators of immune activity and markers associated with biological response that would support proceeding to a phase III trial.</w:t>
      </w:r>
    </w:p>
    <w:p w14:paraId="77BAE7C2" w14:textId="77777777" w:rsidR="000F6888" w:rsidRDefault="000F6888" w:rsidP="000F6888">
      <w:pPr>
        <w:rPr>
          <w:rFonts w:asciiTheme="majorHAnsi" w:eastAsiaTheme="majorEastAsia" w:hAnsiTheme="majorHAnsi" w:cstheme="majorBidi"/>
          <w:noProof/>
          <w:color w:val="2F5496" w:themeColor="accent1" w:themeShade="BF"/>
          <w:sz w:val="26"/>
          <w:szCs w:val="26"/>
        </w:rPr>
      </w:pPr>
      <w:r>
        <w:rPr>
          <w:noProof/>
        </w:rPr>
        <w:br w:type="page"/>
      </w:r>
    </w:p>
    <w:p w14:paraId="585A082B" w14:textId="77777777" w:rsidR="000F6888" w:rsidRDefault="000F6888" w:rsidP="000F6888">
      <w:pPr>
        <w:pStyle w:val="Heading2"/>
        <w:rPr>
          <w:noProof/>
        </w:rPr>
      </w:pPr>
      <w:r>
        <w:rPr>
          <w:noProof/>
        </w:rPr>
        <w:lastRenderedPageBreak/>
        <w:t>Trial Details</w:t>
      </w: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838"/>
        <w:gridCol w:w="7229"/>
      </w:tblGrid>
      <w:tr w:rsidR="000F6888" w:rsidRPr="007A4608" w14:paraId="1E1CF90F" w14:textId="77777777" w:rsidTr="002B3E25">
        <w:trPr>
          <w:trHeight w:val="95"/>
        </w:trPr>
        <w:tc>
          <w:tcPr>
            <w:tcW w:w="9067" w:type="dxa"/>
            <w:gridSpan w:val="2"/>
            <w:shd w:val="clear" w:color="auto" w:fill="D9D9D9" w:themeFill="background1" w:themeFillShade="D9"/>
            <w:vAlign w:val="center"/>
          </w:tcPr>
          <w:p w14:paraId="10F83BDB" w14:textId="77777777" w:rsidR="000F6888" w:rsidRPr="007A4608" w:rsidRDefault="000F6888" w:rsidP="002B3E25">
            <w:pPr>
              <w:jc w:val="center"/>
              <w:rPr>
                <w:rFonts w:cstheme="minorHAnsi"/>
                <w:iCs/>
                <w:sz w:val="18"/>
                <w:szCs w:val="18"/>
              </w:rPr>
            </w:pPr>
            <w:r w:rsidRPr="007A4608">
              <w:rPr>
                <w:rFonts w:cstheme="minorHAnsi"/>
                <w:b/>
                <w:iCs/>
                <w:sz w:val="18"/>
                <w:szCs w:val="18"/>
              </w:rPr>
              <w:t>Patients</w:t>
            </w:r>
          </w:p>
        </w:tc>
      </w:tr>
      <w:tr w:rsidR="000F6888" w:rsidRPr="007A4608" w14:paraId="77C9055C" w14:textId="77777777" w:rsidTr="002B3E25">
        <w:trPr>
          <w:trHeight w:val="309"/>
        </w:trPr>
        <w:tc>
          <w:tcPr>
            <w:tcW w:w="1838" w:type="dxa"/>
            <w:shd w:val="clear" w:color="auto" w:fill="D9D9D9" w:themeFill="background1" w:themeFillShade="D9"/>
            <w:vAlign w:val="center"/>
          </w:tcPr>
          <w:p w14:paraId="588B6646" w14:textId="77777777" w:rsidR="000F6888" w:rsidRPr="007A4608" w:rsidRDefault="000F6888" w:rsidP="002B3E25">
            <w:pPr>
              <w:jc w:val="center"/>
              <w:rPr>
                <w:rFonts w:cstheme="minorHAnsi"/>
                <w:b/>
                <w:sz w:val="18"/>
                <w:szCs w:val="18"/>
              </w:rPr>
            </w:pPr>
            <w:r w:rsidRPr="007A4608">
              <w:rPr>
                <w:rFonts w:cstheme="minorHAnsi"/>
                <w:b/>
                <w:sz w:val="18"/>
                <w:szCs w:val="18"/>
              </w:rPr>
              <w:t>Estimated number of patients</w:t>
            </w:r>
          </w:p>
        </w:tc>
        <w:tc>
          <w:tcPr>
            <w:tcW w:w="7229" w:type="dxa"/>
            <w:vAlign w:val="center"/>
          </w:tcPr>
          <w:p w14:paraId="76DF839D" w14:textId="77777777" w:rsidR="000F6888" w:rsidRPr="007A4608" w:rsidRDefault="000F6888" w:rsidP="002B3E25">
            <w:pPr>
              <w:rPr>
                <w:rFonts w:cstheme="minorHAnsi"/>
                <w:iCs/>
                <w:sz w:val="18"/>
                <w:szCs w:val="18"/>
              </w:rPr>
            </w:pPr>
            <w:r w:rsidRPr="007A4608">
              <w:rPr>
                <w:rFonts w:cstheme="minorHAnsi"/>
                <w:iCs/>
                <w:sz w:val="18"/>
                <w:szCs w:val="18"/>
              </w:rPr>
              <w:t>Up to 30 (15 patients treated with CXD101 and 15 patients treated with CXD101 + Nivolumab)</w:t>
            </w:r>
          </w:p>
        </w:tc>
      </w:tr>
      <w:tr w:rsidR="000F6888" w:rsidRPr="007A4608" w14:paraId="3C52C14F" w14:textId="77777777" w:rsidTr="002B3E25">
        <w:trPr>
          <w:trHeight w:val="203"/>
        </w:trPr>
        <w:tc>
          <w:tcPr>
            <w:tcW w:w="1838" w:type="dxa"/>
            <w:shd w:val="clear" w:color="auto" w:fill="D9D9D9" w:themeFill="background1" w:themeFillShade="D9"/>
            <w:vAlign w:val="center"/>
          </w:tcPr>
          <w:p w14:paraId="75DF86D7" w14:textId="77777777" w:rsidR="000F6888" w:rsidRPr="007A4608" w:rsidRDefault="000F6888" w:rsidP="002B3E25">
            <w:pPr>
              <w:jc w:val="center"/>
              <w:rPr>
                <w:rFonts w:cstheme="minorHAnsi"/>
                <w:b/>
                <w:sz w:val="18"/>
                <w:szCs w:val="18"/>
              </w:rPr>
            </w:pPr>
            <w:r w:rsidRPr="007A4608">
              <w:rPr>
                <w:rFonts w:cstheme="minorHAnsi"/>
                <w:b/>
                <w:sz w:val="18"/>
                <w:szCs w:val="18"/>
              </w:rPr>
              <w:t>Source of patients</w:t>
            </w:r>
          </w:p>
        </w:tc>
        <w:tc>
          <w:tcPr>
            <w:tcW w:w="7229" w:type="dxa"/>
            <w:vAlign w:val="center"/>
          </w:tcPr>
          <w:p w14:paraId="1B44E004" w14:textId="77777777" w:rsidR="000F6888" w:rsidRPr="007A4608" w:rsidRDefault="000F6888" w:rsidP="002B3E25">
            <w:pPr>
              <w:rPr>
                <w:rFonts w:cstheme="minorHAnsi"/>
                <w:iCs/>
                <w:sz w:val="18"/>
                <w:szCs w:val="18"/>
              </w:rPr>
            </w:pPr>
            <w:r w:rsidRPr="007A4608">
              <w:rPr>
                <w:rFonts w:cstheme="minorHAnsi"/>
                <w:iCs/>
                <w:sz w:val="18"/>
                <w:szCs w:val="18"/>
              </w:rPr>
              <w:t>Patients referred for diagnostic colonoscopy for suspected colorectal cancer in Oxford who are subsequently confirmed to have MSS CRC on histology and deemed operable by the MDT</w:t>
            </w:r>
          </w:p>
        </w:tc>
      </w:tr>
      <w:tr w:rsidR="000F6888" w:rsidRPr="007A4608" w14:paraId="25BD8A04" w14:textId="77777777" w:rsidTr="002B3E25">
        <w:trPr>
          <w:trHeight w:val="830"/>
        </w:trPr>
        <w:tc>
          <w:tcPr>
            <w:tcW w:w="1838" w:type="dxa"/>
            <w:shd w:val="clear" w:color="auto" w:fill="D9D9D9" w:themeFill="background1" w:themeFillShade="D9"/>
            <w:vAlign w:val="center"/>
          </w:tcPr>
          <w:p w14:paraId="4DCED4F5" w14:textId="77777777" w:rsidR="000F6888" w:rsidRPr="007A4608" w:rsidRDefault="000F6888" w:rsidP="002B3E25">
            <w:pPr>
              <w:jc w:val="center"/>
              <w:rPr>
                <w:rFonts w:cstheme="minorHAnsi"/>
                <w:b/>
                <w:sz w:val="18"/>
                <w:szCs w:val="18"/>
              </w:rPr>
            </w:pPr>
            <w:r w:rsidRPr="007A4608">
              <w:rPr>
                <w:rFonts w:cstheme="minorHAnsi"/>
                <w:b/>
                <w:sz w:val="18"/>
                <w:szCs w:val="18"/>
              </w:rPr>
              <w:t>Main</w:t>
            </w:r>
          </w:p>
          <w:p w14:paraId="12CC8C01" w14:textId="77777777" w:rsidR="000F6888" w:rsidRPr="007A4608" w:rsidRDefault="000F6888" w:rsidP="002B3E25">
            <w:pPr>
              <w:jc w:val="center"/>
              <w:rPr>
                <w:rFonts w:cstheme="minorHAnsi"/>
                <w:b/>
                <w:sz w:val="18"/>
                <w:szCs w:val="18"/>
              </w:rPr>
            </w:pPr>
            <w:r w:rsidRPr="007A4608">
              <w:rPr>
                <w:rFonts w:cstheme="minorHAnsi"/>
                <w:b/>
                <w:sz w:val="18"/>
                <w:szCs w:val="18"/>
              </w:rPr>
              <w:t>inclusion criteria</w:t>
            </w:r>
          </w:p>
        </w:tc>
        <w:tc>
          <w:tcPr>
            <w:tcW w:w="7229" w:type="dxa"/>
            <w:vAlign w:val="center"/>
          </w:tcPr>
          <w:p w14:paraId="4C23C367" w14:textId="77777777" w:rsidR="000F6888" w:rsidRPr="007A4608" w:rsidRDefault="000F6888" w:rsidP="000F6888">
            <w:pPr>
              <w:pStyle w:val="C-BulletCharCharCharCharCharCharCharCharCharCharCharCharCharCharCharCharCharCharCharCharCharCharCharCharCharCharCharCharChar"/>
              <w:numPr>
                <w:ilvl w:val="0"/>
                <w:numId w:val="3"/>
              </w:numPr>
              <w:spacing w:before="0" w:after="0" w:line="240" w:lineRule="auto"/>
              <w:rPr>
                <w:rFonts w:cstheme="minorHAnsi"/>
                <w:sz w:val="18"/>
                <w:szCs w:val="18"/>
              </w:rPr>
            </w:pPr>
            <w:r w:rsidRPr="007A4608">
              <w:rPr>
                <w:rFonts w:cstheme="minorHAnsi"/>
                <w:sz w:val="18"/>
                <w:szCs w:val="18"/>
              </w:rPr>
              <w:t xml:space="preserve">Histologically confirmed, operable MSS CRC </w:t>
            </w:r>
          </w:p>
          <w:p w14:paraId="130C135F" w14:textId="77777777" w:rsidR="000F6888" w:rsidRPr="007A4608" w:rsidRDefault="000F6888" w:rsidP="000F6888">
            <w:pPr>
              <w:pStyle w:val="C-BulletCharCharCharCharCharCharCharCharCharCharCharCharCharCharCharCharCharCharCharCharCharCharCharCharCharCharCharCharChar"/>
              <w:numPr>
                <w:ilvl w:val="0"/>
                <w:numId w:val="2"/>
              </w:numPr>
              <w:spacing w:before="0" w:after="0" w:line="240" w:lineRule="auto"/>
              <w:rPr>
                <w:rFonts w:cstheme="minorHAnsi"/>
                <w:sz w:val="18"/>
                <w:szCs w:val="18"/>
              </w:rPr>
            </w:pPr>
            <w:r w:rsidRPr="007A4608">
              <w:rPr>
                <w:rFonts w:cstheme="minorHAnsi"/>
                <w:sz w:val="18"/>
                <w:szCs w:val="18"/>
              </w:rPr>
              <w:t xml:space="preserve">Age </w:t>
            </w:r>
            <w:r w:rsidRPr="007A4608">
              <w:rPr>
                <w:rFonts w:cstheme="minorHAnsi"/>
                <w:sz w:val="18"/>
                <w:szCs w:val="18"/>
              </w:rPr>
              <w:sym w:font="Symbol" w:char="F0B3"/>
            </w:r>
            <w:r w:rsidRPr="007A4608">
              <w:rPr>
                <w:rFonts w:cstheme="minorHAnsi"/>
                <w:sz w:val="18"/>
                <w:szCs w:val="18"/>
              </w:rPr>
              <w:t xml:space="preserve"> 18 years </w:t>
            </w:r>
          </w:p>
          <w:p w14:paraId="514FEBE4" w14:textId="77777777" w:rsidR="000F6888" w:rsidRPr="007A4608" w:rsidRDefault="000F6888" w:rsidP="000F6888">
            <w:pPr>
              <w:pStyle w:val="C-BulletCharCharCharCharCharCharCharCharCharCharCharCharCharCharCharCharCharCharCharCharCharCharCharCharCharCharCharCharChar"/>
              <w:numPr>
                <w:ilvl w:val="0"/>
                <w:numId w:val="2"/>
              </w:numPr>
              <w:spacing w:before="0" w:after="0" w:line="240" w:lineRule="auto"/>
              <w:rPr>
                <w:rFonts w:cstheme="minorHAnsi"/>
                <w:sz w:val="18"/>
                <w:szCs w:val="18"/>
              </w:rPr>
            </w:pPr>
            <w:r w:rsidRPr="007A4608">
              <w:rPr>
                <w:rFonts w:cstheme="minorHAnsi"/>
                <w:sz w:val="18"/>
                <w:szCs w:val="18"/>
              </w:rPr>
              <w:t xml:space="preserve">Eastern Cooperative Oncology Group (ECOG) performance status </w:t>
            </w:r>
            <w:r w:rsidRPr="007A4608">
              <w:rPr>
                <w:rFonts w:cstheme="minorHAnsi"/>
                <w:sz w:val="18"/>
                <w:szCs w:val="18"/>
              </w:rPr>
              <w:sym w:font="Symbol" w:char="F0A3"/>
            </w:r>
            <w:r w:rsidRPr="007A4608">
              <w:rPr>
                <w:rFonts w:cstheme="minorHAnsi"/>
                <w:sz w:val="18"/>
                <w:szCs w:val="18"/>
              </w:rPr>
              <w:t xml:space="preserve"> 1</w:t>
            </w:r>
          </w:p>
          <w:p w14:paraId="02197581" w14:textId="77777777" w:rsidR="000F6888" w:rsidRPr="007A4608" w:rsidRDefault="000F6888" w:rsidP="000F6888">
            <w:pPr>
              <w:pStyle w:val="C-BulletCharCharCharCharCharCharCharCharCharCharCharCharCharCharCharCharCharCharCharCharCharCharCharCharCharCharCharCharChar"/>
              <w:numPr>
                <w:ilvl w:val="0"/>
                <w:numId w:val="2"/>
              </w:numPr>
              <w:spacing w:before="0" w:after="0" w:line="240" w:lineRule="auto"/>
              <w:rPr>
                <w:rFonts w:cstheme="minorHAnsi"/>
                <w:sz w:val="18"/>
                <w:szCs w:val="18"/>
              </w:rPr>
            </w:pPr>
            <w:r w:rsidRPr="007A4608">
              <w:rPr>
                <w:rFonts w:cstheme="minorHAnsi"/>
                <w:sz w:val="18"/>
                <w:szCs w:val="18"/>
              </w:rPr>
              <w:t>Adequate organ and bone marrow function</w:t>
            </w:r>
          </w:p>
        </w:tc>
      </w:tr>
      <w:tr w:rsidR="000F6888" w:rsidRPr="007A4608" w14:paraId="76349EE3" w14:textId="77777777" w:rsidTr="002B3E25">
        <w:trPr>
          <w:trHeight w:val="422"/>
        </w:trPr>
        <w:tc>
          <w:tcPr>
            <w:tcW w:w="1838" w:type="dxa"/>
            <w:shd w:val="clear" w:color="auto" w:fill="D9D9D9" w:themeFill="background1" w:themeFillShade="D9"/>
            <w:vAlign w:val="center"/>
          </w:tcPr>
          <w:p w14:paraId="73647F1D" w14:textId="77777777" w:rsidR="000F6888" w:rsidRPr="007A4608" w:rsidRDefault="000F6888" w:rsidP="002B3E25">
            <w:pPr>
              <w:jc w:val="center"/>
              <w:rPr>
                <w:rFonts w:cstheme="minorHAnsi"/>
                <w:b/>
                <w:sz w:val="18"/>
                <w:szCs w:val="18"/>
              </w:rPr>
            </w:pPr>
            <w:r w:rsidRPr="007A4608">
              <w:rPr>
                <w:rFonts w:cstheme="minorHAnsi"/>
                <w:b/>
                <w:sz w:val="18"/>
                <w:szCs w:val="18"/>
              </w:rPr>
              <w:br w:type="page"/>
              <w:t>Main</w:t>
            </w:r>
          </w:p>
          <w:p w14:paraId="716D6D33" w14:textId="77777777" w:rsidR="000F6888" w:rsidRPr="007A4608" w:rsidRDefault="000F6888" w:rsidP="002B3E25">
            <w:pPr>
              <w:jc w:val="center"/>
              <w:rPr>
                <w:rFonts w:cstheme="minorHAnsi"/>
                <w:b/>
                <w:sz w:val="18"/>
                <w:szCs w:val="18"/>
              </w:rPr>
            </w:pPr>
            <w:r w:rsidRPr="007A4608">
              <w:rPr>
                <w:rFonts w:cstheme="minorHAnsi"/>
                <w:b/>
                <w:sz w:val="18"/>
                <w:szCs w:val="18"/>
              </w:rPr>
              <w:t>exclusion criteria</w:t>
            </w:r>
          </w:p>
        </w:tc>
        <w:tc>
          <w:tcPr>
            <w:tcW w:w="7229" w:type="dxa"/>
            <w:vAlign w:val="center"/>
          </w:tcPr>
          <w:p w14:paraId="0E032C80" w14:textId="77777777" w:rsidR="000F6888" w:rsidRPr="007A4608" w:rsidRDefault="000F6888" w:rsidP="000F6888">
            <w:pPr>
              <w:pStyle w:val="C-BulletCharCharCharCharCharCharCharCharCharCharCharCharCharCharCharCharCharCharCharCharCharCharCharCharCharCharCharCharChar"/>
              <w:numPr>
                <w:ilvl w:val="0"/>
                <w:numId w:val="4"/>
              </w:numPr>
              <w:spacing w:before="0" w:after="0" w:line="240" w:lineRule="auto"/>
              <w:rPr>
                <w:rFonts w:cstheme="minorHAnsi"/>
                <w:sz w:val="18"/>
                <w:szCs w:val="18"/>
              </w:rPr>
            </w:pPr>
            <w:r w:rsidRPr="007A4608">
              <w:rPr>
                <w:rFonts w:cstheme="minorHAnsi"/>
                <w:sz w:val="18"/>
                <w:szCs w:val="18"/>
              </w:rPr>
              <w:t>Pregnant or breast feeding</w:t>
            </w:r>
          </w:p>
          <w:p w14:paraId="2ACEDE6D" w14:textId="77777777" w:rsidR="000F6888" w:rsidRPr="007A4608" w:rsidRDefault="000F6888" w:rsidP="000F6888">
            <w:pPr>
              <w:pStyle w:val="C-BulletCharCharCharCharCharCharCharCharCharCharCharCharCharCharCharCharCharCharCharCharCharCharCharCharCharCharCharCharChar"/>
              <w:numPr>
                <w:ilvl w:val="0"/>
                <w:numId w:val="4"/>
              </w:numPr>
              <w:spacing w:before="0" w:after="0" w:line="240" w:lineRule="auto"/>
              <w:rPr>
                <w:rFonts w:cstheme="minorHAnsi"/>
                <w:sz w:val="18"/>
                <w:szCs w:val="18"/>
              </w:rPr>
            </w:pPr>
            <w:r w:rsidRPr="007A4608">
              <w:rPr>
                <w:rFonts w:cstheme="minorHAnsi"/>
                <w:sz w:val="18"/>
                <w:szCs w:val="18"/>
              </w:rPr>
              <w:t xml:space="preserve">Clinically significant myocardial infarction, severe/unstable angina pectoris, congestive heart failure or pulmonary disease within 6 mo. </w:t>
            </w:r>
          </w:p>
          <w:p w14:paraId="5D37D0B7" w14:textId="77777777" w:rsidR="000F6888" w:rsidRPr="007A4608" w:rsidRDefault="000F6888" w:rsidP="000F6888">
            <w:pPr>
              <w:pStyle w:val="C-BulletCharCharCharCharCharCharCharCharCharCharCharCharCharCharCharCharCharCharCharCharCharCharCharCharCharCharCharCharChar"/>
              <w:numPr>
                <w:ilvl w:val="0"/>
                <w:numId w:val="4"/>
              </w:numPr>
              <w:spacing w:before="0" w:after="0" w:line="240" w:lineRule="auto"/>
              <w:rPr>
                <w:rFonts w:cstheme="minorHAnsi"/>
                <w:sz w:val="18"/>
                <w:szCs w:val="18"/>
              </w:rPr>
            </w:pPr>
            <w:r w:rsidRPr="007A4608">
              <w:rPr>
                <w:rFonts w:cstheme="minorHAnsi"/>
                <w:sz w:val="18"/>
                <w:szCs w:val="18"/>
              </w:rPr>
              <w:t>Clinically significant active infection requiring antibiotic or antiretroviral therapy</w:t>
            </w:r>
          </w:p>
          <w:p w14:paraId="414EE382" w14:textId="77777777" w:rsidR="000F6888" w:rsidRPr="007A4608" w:rsidRDefault="000F6888" w:rsidP="000F6888">
            <w:pPr>
              <w:pStyle w:val="C-BulletCharCharCharCharCharCharCharCharCharCharCharCharCharCharCharCharCharCharCharCharCharCharCharCharCharCharCharCharChar"/>
              <w:numPr>
                <w:ilvl w:val="0"/>
                <w:numId w:val="4"/>
              </w:numPr>
              <w:spacing w:before="0" w:after="0" w:line="240" w:lineRule="auto"/>
              <w:rPr>
                <w:rFonts w:cstheme="minorHAnsi"/>
                <w:sz w:val="18"/>
                <w:szCs w:val="18"/>
              </w:rPr>
            </w:pPr>
            <w:r w:rsidRPr="007A4608">
              <w:rPr>
                <w:rFonts w:cstheme="minorHAnsi"/>
                <w:sz w:val="18"/>
                <w:szCs w:val="18"/>
              </w:rPr>
              <w:t>History of recent active chronic inflammatory bowel disease and/or bowel obstruction.</w:t>
            </w:r>
          </w:p>
          <w:p w14:paraId="0A7AC2B4" w14:textId="77777777" w:rsidR="000F6888" w:rsidRPr="007A4608" w:rsidRDefault="000F6888" w:rsidP="000F6888">
            <w:pPr>
              <w:pStyle w:val="C-BulletCharCharCharCharCharCharCharCharCharCharCharCharCharCharCharCharCharCharCharCharCharCharCharCharCharCharCharCharChar"/>
              <w:numPr>
                <w:ilvl w:val="0"/>
                <w:numId w:val="4"/>
              </w:numPr>
              <w:spacing w:before="0" w:after="0" w:line="240" w:lineRule="auto"/>
              <w:rPr>
                <w:rFonts w:cstheme="minorHAnsi"/>
                <w:sz w:val="18"/>
                <w:szCs w:val="18"/>
              </w:rPr>
            </w:pPr>
            <w:r w:rsidRPr="007A4608">
              <w:rPr>
                <w:rFonts w:cstheme="minorHAnsi"/>
                <w:sz w:val="18"/>
                <w:szCs w:val="18"/>
              </w:rPr>
              <w:t>History of clinically significant autoimmune disease</w:t>
            </w:r>
          </w:p>
          <w:p w14:paraId="228C2A04" w14:textId="77777777" w:rsidR="000F6888" w:rsidRPr="007A4608" w:rsidRDefault="000F6888" w:rsidP="000F6888">
            <w:pPr>
              <w:pStyle w:val="C-BulletCharCharCharCharCharCharCharCharCharCharCharCharCharCharCharCharCharCharCharCharCharCharCharCharCharCharCharCharChar"/>
              <w:numPr>
                <w:ilvl w:val="0"/>
                <w:numId w:val="2"/>
              </w:numPr>
              <w:spacing w:before="0" w:after="0" w:line="240" w:lineRule="auto"/>
              <w:rPr>
                <w:rFonts w:cstheme="minorHAnsi"/>
                <w:sz w:val="18"/>
                <w:szCs w:val="18"/>
              </w:rPr>
            </w:pPr>
            <w:r w:rsidRPr="007A4608">
              <w:rPr>
                <w:rFonts w:cstheme="minorHAnsi"/>
                <w:sz w:val="18"/>
                <w:szCs w:val="18"/>
              </w:rPr>
              <w:t>Prior treatment with an HDAC inhibitor or immune checkpoint inhibitor</w:t>
            </w:r>
          </w:p>
        </w:tc>
      </w:tr>
    </w:tbl>
    <w:p w14:paraId="5BC05696" w14:textId="77777777" w:rsidR="000F6888" w:rsidRPr="007A4608" w:rsidRDefault="000F6888" w:rsidP="000F6888">
      <w:pPr>
        <w:jc w:val="both"/>
        <w:rPr>
          <w:rFonts w:cstheme="minorHAnsi"/>
          <w:b/>
          <w:bCs/>
          <w:sz w:val="18"/>
          <w:szCs w:val="18"/>
        </w:rPr>
      </w:pPr>
    </w:p>
    <w:p w14:paraId="7CC69686" w14:textId="77777777" w:rsidR="000F6888" w:rsidRPr="007A4608" w:rsidRDefault="000F6888" w:rsidP="000F6888">
      <w:pPr>
        <w:jc w:val="center"/>
        <w:rPr>
          <w:rFonts w:cstheme="minorHAnsi"/>
          <w:b/>
          <w:bCs/>
          <w:sz w:val="18"/>
          <w:szCs w:val="18"/>
        </w:rPr>
      </w:pPr>
      <w:r w:rsidRPr="007A4608">
        <w:rPr>
          <w:rFonts w:cstheme="minorHAnsi"/>
          <w:b/>
          <w:bCs/>
          <w:sz w:val="18"/>
          <w:szCs w:val="18"/>
        </w:rPr>
        <w:t>Trial Design</w:t>
      </w: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951"/>
        <w:gridCol w:w="7116"/>
      </w:tblGrid>
      <w:tr w:rsidR="000F6888" w:rsidRPr="007A4608" w14:paraId="5D985CA3" w14:textId="77777777" w:rsidTr="002B3E25">
        <w:trPr>
          <w:trHeight w:val="52"/>
        </w:trPr>
        <w:tc>
          <w:tcPr>
            <w:tcW w:w="9067" w:type="dxa"/>
            <w:gridSpan w:val="2"/>
            <w:shd w:val="clear" w:color="auto" w:fill="D9D9D9" w:themeFill="background1" w:themeFillShade="D9"/>
            <w:vAlign w:val="center"/>
          </w:tcPr>
          <w:p w14:paraId="6989914E" w14:textId="77777777" w:rsidR="000F6888" w:rsidRPr="007A4608" w:rsidRDefault="000F6888" w:rsidP="002B3E25">
            <w:pPr>
              <w:jc w:val="center"/>
              <w:rPr>
                <w:rFonts w:cstheme="minorHAnsi"/>
                <w:iCs/>
                <w:sz w:val="18"/>
                <w:szCs w:val="18"/>
              </w:rPr>
            </w:pPr>
            <w:r w:rsidRPr="007A4608">
              <w:rPr>
                <w:rFonts w:cstheme="minorHAnsi"/>
                <w:b/>
                <w:iCs/>
                <w:sz w:val="18"/>
                <w:szCs w:val="18"/>
              </w:rPr>
              <w:t>Intervention and Comparison</w:t>
            </w:r>
          </w:p>
        </w:tc>
      </w:tr>
      <w:tr w:rsidR="000F6888" w:rsidRPr="007A4608" w14:paraId="1C651CDD" w14:textId="77777777" w:rsidTr="002B3E25">
        <w:trPr>
          <w:trHeight w:val="547"/>
        </w:trPr>
        <w:tc>
          <w:tcPr>
            <w:tcW w:w="1951" w:type="dxa"/>
            <w:shd w:val="clear" w:color="auto" w:fill="D9D9D9" w:themeFill="background1" w:themeFillShade="D9"/>
            <w:vAlign w:val="center"/>
          </w:tcPr>
          <w:p w14:paraId="3926CA5B" w14:textId="77777777" w:rsidR="000F6888" w:rsidRPr="007A4608" w:rsidRDefault="000F6888" w:rsidP="002B3E25">
            <w:pPr>
              <w:jc w:val="center"/>
              <w:rPr>
                <w:rFonts w:cstheme="minorHAnsi"/>
                <w:b/>
                <w:sz w:val="18"/>
                <w:szCs w:val="18"/>
              </w:rPr>
            </w:pPr>
            <w:r w:rsidRPr="007A4608">
              <w:rPr>
                <w:rFonts w:cstheme="minorHAnsi"/>
                <w:b/>
                <w:sz w:val="18"/>
                <w:szCs w:val="18"/>
              </w:rPr>
              <w:t>Study Design</w:t>
            </w:r>
          </w:p>
        </w:tc>
        <w:tc>
          <w:tcPr>
            <w:tcW w:w="7116" w:type="dxa"/>
          </w:tcPr>
          <w:p w14:paraId="202DE98A" w14:textId="77777777" w:rsidR="000F6888" w:rsidRPr="007A4608" w:rsidRDefault="000F6888" w:rsidP="002B3E25">
            <w:pPr>
              <w:jc w:val="both"/>
              <w:rPr>
                <w:rFonts w:cstheme="minorHAnsi"/>
                <w:sz w:val="18"/>
                <w:szCs w:val="18"/>
              </w:rPr>
            </w:pPr>
            <w:r w:rsidRPr="007A4608">
              <w:rPr>
                <w:rFonts w:cstheme="minorHAnsi"/>
                <w:sz w:val="18"/>
                <w:szCs w:val="18"/>
              </w:rPr>
              <w:t xml:space="preserve">Open label phase 1b window of opportunity study </w:t>
            </w:r>
            <w:r w:rsidRPr="007A4608">
              <w:rPr>
                <w:rFonts w:cstheme="minorHAnsi"/>
                <w:noProof/>
                <w:sz w:val="18"/>
                <w:szCs w:val="18"/>
              </w:rPr>
              <w:t xml:space="preserve">in which treatment naïve patients with MSS colorectal cancer will receive treatment with CXD101 +/- Nivolumab. </w:t>
            </w:r>
          </w:p>
        </w:tc>
      </w:tr>
      <w:tr w:rsidR="000F6888" w:rsidRPr="007A4608" w14:paraId="66971463" w14:textId="77777777" w:rsidTr="002B3E25">
        <w:trPr>
          <w:trHeight w:val="837"/>
        </w:trPr>
        <w:tc>
          <w:tcPr>
            <w:tcW w:w="1951" w:type="dxa"/>
            <w:shd w:val="clear" w:color="auto" w:fill="D9D9D9" w:themeFill="background1" w:themeFillShade="D9"/>
            <w:vAlign w:val="center"/>
          </w:tcPr>
          <w:p w14:paraId="6E1119EE" w14:textId="77777777" w:rsidR="000F6888" w:rsidRPr="007A4608" w:rsidRDefault="000F6888" w:rsidP="002B3E25">
            <w:pPr>
              <w:jc w:val="center"/>
              <w:rPr>
                <w:rFonts w:cstheme="minorHAnsi"/>
                <w:b/>
                <w:sz w:val="18"/>
                <w:szCs w:val="18"/>
              </w:rPr>
            </w:pPr>
            <w:r w:rsidRPr="007A4608">
              <w:rPr>
                <w:rFonts w:cstheme="minorHAnsi"/>
                <w:b/>
                <w:sz w:val="18"/>
                <w:szCs w:val="18"/>
              </w:rPr>
              <w:br w:type="page"/>
              <w:t>Proposed treatment or intervention</w:t>
            </w:r>
          </w:p>
        </w:tc>
        <w:tc>
          <w:tcPr>
            <w:tcW w:w="7116" w:type="dxa"/>
          </w:tcPr>
          <w:p w14:paraId="211CC2E3" w14:textId="77777777" w:rsidR="000F6888" w:rsidRPr="007A4608" w:rsidRDefault="000F6888" w:rsidP="002B3E25">
            <w:pPr>
              <w:jc w:val="both"/>
              <w:rPr>
                <w:rFonts w:cstheme="minorHAnsi"/>
                <w:b/>
                <w:bCs/>
                <w:sz w:val="18"/>
                <w:szCs w:val="18"/>
                <w:lang w:bidi="th-TH"/>
              </w:rPr>
            </w:pPr>
            <w:r w:rsidRPr="007A4608">
              <w:rPr>
                <w:rFonts w:cstheme="minorHAnsi"/>
                <w:bCs/>
                <w:sz w:val="18"/>
                <w:szCs w:val="18"/>
                <w:lang w:bidi="th-TH"/>
              </w:rPr>
              <w:t xml:space="preserve">CXD101 dose 30 mg daily (20 mg + 10 mg) for 5 days about 3 weeks prior to surgery </w:t>
            </w:r>
            <w:r w:rsidRPr="007A4608">
              <w:rPr>
                <w:rFonts w:cstheme="minorHAnsi"/>
                <w:b/>
                <w:bCs/>
                <w:sz w:val="18"/>
                <w:szCs w:val="18"/>
                <w:lang w:bidi="th-TH"/>
              </w:rPr>
              <w:t>OR</w:t>
            </w:r>
          </w:p>
          <w:p w14:paraId="676D4904" w14:textId="77777777" w:rsidR="000F6888" w:rsidRPr="007A4608" w:rsidRDefault="000F6888" w:rsidP="002B3E25">
            <w:pPr>
              <w:jc w:val="both"/>
              <w:rPr>
                <w:rFonts w:cstheme="minorHAnsi"/>
                <w:sz w:val="18"/>
                <w:szCs w:val="18"/>
              </w:rPr>
            </w:pPr>
            <w:r w:rsidRPr="007A4608">
              <w:rPr>
                <w:rFonts w:cstheme="minorHAnsi"/>
                <w:bCs/>
                <w:sz w:val="18"/>
                <w:szCs w:val="18"/>
                <w:lang w:bidi="th-TH"/>
              </w:rPr>
              <w:t xml:space="preserve">Nivolumab 150 mg IV (day 1) + CXD101 dose 30 mg daily (20 mg + 10 </w:t>
            </w:r>
            <w:proofErr w:type="gramStart"/>
            <w:r w:rsidRPr="007A4608">
              <w:rPr>
                <w:rFonts w:cstheme="minorHAnsi"/>
                <w:bCs/>
                <w:sz w:val="18"/>
                <w:szCs w:val="18"/>
                <w:lang w:bidi="th-TH"/>
              </w:rPr>
              <w:t>mg)for</w:t>
            </w:r>
            <w:proofErr w:type="gramEnd"/>
            <w:r w:rsidRPr="007A4608">
              <w:rPr>
                <w:rFonts w:cstheme="minorHAnsi"/>
                <w:bCs/>
                <w:sz w:val="18"/>
                <w:szCs w:val="18"/>
                <w:lang w:bidi="th-TH"/>
              </w:rPr>
              <w:t xml:space="preserve"> 5 days about 3 weeks prior to surgery</w:t>
            </w:r>
          </w:p>
        </w:tc>
      </w:tr>
    </w:tbl>
    <w:p w14:paraId="4CF6166C" w14:textId="77777777" w:rsidR="000F6888" w:rsidRPr="007A4608" w:rsidRDefault="000F6888" w:rsidP="000F6888">
      <w:pPr>
        <w:jc w:val="both"/>
        <w:rPr>
          <w:rFonts w:cstheme="minorHAnsi"/>
          <w:b/>
          <w:bCs/>
          <w:sz w:val="18"/>
          <w:szCs w:val="18"/>
        </w:rPr>
      </w:pPr>
    </w:p>
    <w:p w14:paraId="17C6FBC3" w14:textId="77777777" w:rsidR="000F6888" w:rsidRPr="007A4608" w:rsidRDefault="000F6888" w:rsidP="000F6888">
      <w:pPr>
        <w:jc w:val="center"/>
        <w:rPr>
          <w:rFonts w:cstheme="minorHAnsi"/>
          <w:b/>
          <w:bCs/>
          <w:sz w:val="18"/>
          <w:szCs w:val="18"/>
        </w:rPr>
      </w:pPr>
      <w:r w:rsidRPr="007A4608">
        <w:rPr>
          <w:rFonts w:cstheme="minorHAnsi"/>
          <w:b/>
          <w:bCs/>
          <w:sz w:val="18"/>
          <w:szCs w:val="18"/>
        </w:rPr>
        <w:t>Trial Objectives and Endpoints</w:t>
      </w: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271"/>
        <w:gridCol w:w="4224"/>
        <w:gridCol w:w="3572"/>
      </w:tblGrid>
      <w:tr w:rsidR="000F6888" w:rsidRPr="007A4608" w14:paraId="68AAB17D" w14:textId="77777777" w:rsidTr="002B3E25">
        <w:trPr>
          <w:trHeight w:val="52"/>
        </w:trPr>
        <w:tc>
          <w:tcPr>
            <w:tcW w:w="1271" w:type="dxa"/>
            <w:shd w:val="clear" w:color="auto" w:fill="D9D9D9" w:themeFill="background1" w:themeFillShade="D9"/>
            <w:vAlign w:val="center"/>
          </w:tcPr>
          <w:p w14:paraId="47B5291A" w14:textId="77777777" w:rsidR="000F6888" w:rsidRPr="007A4608" w:rsidRDefault="000F6888" w:rsidP="002B3E25">
            <w:pPr>
              <w:jc w:val="both"/>
              <w:rPr>
                <w:rFonts w:cstheme="minorHAnsi"/>
                <w:b/>
                <w:sz w:val="18"/>
                <w:szCs w:val="18"/>
              </w:rPr>
            </w:pPr>
          </w:p>
        </w:tc>
        <w:tc>
          <w:tcPr>
            <w:tcW w:w="4224" w:type="dxa"/>
            <w:tcBorders>
              <w:bottom w:val="nil"/>
            </w:tcBorders>
            <w:shd w:val="pct15" w:color="auto" w:fill="auto"/>
            <w:vAlign w:val="center"/>
          </w:tcPr>
          <w:p w14:paraId="0BF6AC4E" w14:textId="77777777" w:rsidR="000F6888" w:rsidRPr="007A4608" w:rsidRDefault="000F6888" w:rsidP="002B3E25">
            <w:pPr>
              <w:jc w:val="center"/>
              <w:rPr>
                <w:rFonts w:cstheme="minorHAnsi"/>
                <w:b/>
                <w:sz w:val="18"/>
                <w:szCs w:val="18"/>
              </w:rPr>
            </w:pPr>
            <w:r w:rsidRPr="007A4608">
              <w:rPr>
                <w:rFonts w:cstheme="minorHAnsi"/>
                <w:b/>
                <w:sz w:val="18"/>
                <w:szCs w:val="18"/>
              </w:rPr>
              <w:t>Objective</w:t>
            </w:r>
          </w:p>
        </w:tc>
        <w:tc>
          <w:tcPr>
            <w:tcW w:w="3572" w:type="dxa"/>
            <w:tcBorders>
              <w:bottom w:val="nil"/>
            </w:tcBorders>
            <w:shd w:val="pct15" w:color="auto" w:fill="auto"/>
            <w:vAlign w:val="center"/>
          </w:tcPr>
          <w:p w14:paraId="113CE85B" w14:textId="77777777" w:rsidR="000F6888" w:rsidRPr="007A4608" w:rsidRDefault="000F6888" w:rsidP="002B3E25">
            <w:pPr>
              <w:jc w:val="center"/>
              <w:rPr>
                <w:rFonts w:cstheme="minorHAnsi"/>
                <w:b/>
                <w:sz w:val="18"/>
                <w:szCs w:val="18"/>
              </w:rPr>
            </w:pPr>
            <w:r w:rsidRPr="007A4608">
              <w:rPr>
                <w:rFonts w:cstheme="minorHAnsi"/>
                <w:b/>
                <w:sz w:val="18"/>
                <w:szCs w:val="18"/>
              </w:rPr>
              <w:t>Corresponding Endpoints</w:t>
            </w:r>
          </w:p>
        </w:tc>
      </w:tr>
      <w:tr w:rsidR="000F6888" w:rsidRPr="007A4608" w14:paraId="340373B8" w14:textId="77777777" w:rsidTr="002B3E25">
        <w:trPr>
          <w:trHeight w:val="622"/>
        </w:trPr>
        <w:tc>
          <w:tcPr>
            <w:tcW w:w="1271" w:type="dxa"/>
            <w:shd w:val="clear" w:color="auto" w:fill="D9D9D9" w:themeFill="background1" w:themeFillShade="D9"/>
            <w:vAlign w:val="center"/>
          </w:tcPr>
          <w:p w14:paraId="7767FEB8" w14:textId="77777777" w:rsidR="000F6888" w:rsidRPr="007A4608" w:rsidRDefault="000F6888" w:rsidP="002B3E25">
            <w:pPr>
              <w:jc w:val="center"/>
              <w:rPr>
                <w:rFonts w:cstheme="minorHAnsi"/>
                <w:b/>
                <w:sz w:val="18"/>
                <w:szCs w:val="18"/>
              </w:rPr>
            </w:pPr>
            <w:r w:rsidRPr="007A4608">
              <w:rPr>
                <w:rFonts w:cstheme="minorHAnsi"/>
                <w:b/>
                <w:sz w:val="18"/>
                <w:szCs w:val="18"/>
              </w:rPr>
              <w:t>Primary</w:t>
            </w:r>
          </w:p>
        </w:tc>
        <w:tc>
          <w:tcPr>
            <w:tcW w:w="4224" w:type="dxa"/>
            <w:tcBorders>
              <w:top w:val="nil"/>
            </w:tcBorders>
          </w:tcPr>
          <w:p w14:paraId="6BA3D1C7" w14:textId="77777777" w:rsidR="000F6888" w:rsidRPr="007A4608" w:rsidRDefault="000F6888" w:rsidP="002B3E25">
            <w:pPr>
              <w:jc w:val="both"/>
              <w:rPr>
                <w:rFonts w:cstheme="minorHAnsi"/>
                <w:iCs/>
                <w:sz w:val="18"/>
                <w:szCs w:val="18"/>
              </w:rPr>
            </w:pPr>
            <w:r w:rsidRPr="007A4608">
              <w:rPr>
                <w:rFonts w:cstheme="minorHAnsi"/>
                <w:iCs/>
                <w:sz w:val="18"/>
                <w:szCs w:val="18"/>
              </w:rPr>
              <w:t>Compare immune biomarker expression in paired colorectal cancer tissue specimens before and after treatment with CXD101 +/- Nivolumab</w:t>
            </w:r>
          </w:p>
        </w:tc>
        <w:tc>
          <w:tcPr>
            <w:tcW w:w="3572" w:type="dxa"/>
            <w:tcBorders>
              <w:top w:val="nil"/>
            </w:tcBorders>
          </w:tcPr>
          <w:p w14:paraId="06B39FBB" w14:textId="77777777" w:rsidR="000F6888" w:rsidRPr="007A4608" w:rsidRDefault="000F6888" w:rsidP="002B3E25">
            <w:pPr>
              <w:jc w:val="both"/>
              <w:rPr>
                <w:rFonts w:cstheme="minorHAnsi"/>
                <w:iCs/>
                <w:sz w:val="18"/>
                <w:szCs w:val="18"/>
              </w:rPr>
            </w:pPr>
            <w:r w:rsidRPr="007A4608">
              <w:rPr>
                <w:rFonts w:cstheme="minorHAnsi"/>
                <w:iCs/>
                <w:sz w:val="18"/>
                <w:szCs w:val="18"/>
              </w:rPr>
              <w:t>Mean difference in pre and post treatment intra-</w:t>
            </w:r>
            <w:proofErr w:type="spellStart"/>
            <w:r w:rsidRPr="007A4608">
              <w:rPr>
                <w:rFonts w:cstheme="minorHAnsi"/>
                <w:iCs/>
                <w:sz w:val="18"/>
                <w:szCs w:val="18"/>
              </w:rPr>
              <w:t>tumoural</w:t>
            </w:r>
            <w:proofErr w:type="spellEnd"/>
            <w:r w:rsidRPr="007A4608">
              <w:rPr>
                <w:rFonts w:cstheme="minorHAnsi"/>
                <w:iCs/>
                <w:sz w:val="18"/>
                <w:szCs w:val="18"/>
              </w:rPr>
              <w:t xml:space="preserve"> CD8+ T cell counts measured by IHC</w:t>
            </w:r>
          </w:p>
        </w:tc>
      </w:tr>
      <w:tr w:rsidR="000F6888" w:rsidRPr="007A4608" w14:paraId="1E656C96" w14:textId="77777777" w:rsidTr="002B3E25">
        <w:trPr>
          <w:trHeight w:val="547"/>
        </w:trPr>
        <w:tc>
          <w:tcPr>
            <w:tcW w:w="1271" w:type="dxa"/>
            <w:shd w:val="clear" w:color="auto" w:fill="D9D9D9" w:themeFill="background1" w:themeFillShade="D9"/>
            <w:vAlign w:val="center"/>
          </w:tcPr>
          <w:p w14:paraId="037B28D2" w14:textId="77777777" w:rsidR="000F6888" w:rsidRPr="007A4608" w:rsidRDefault="000F6888" w:rsidP="002B3E25">
            <w:pPr>
              <w:jc w:val="center"/>
              <w:rPr>
                <w:rFonts w:cstheme="minorHAnsi"/>
                <w:b/>
                <w:sz w:val="18"/>
                <w:szCs w:val="18"/>
              </w:rPr>
            </w:pPr>
            <w:r w:rsidRPr="007A4608">
              <w:rPr>
                <w:rFonts w:cstheme="minorHAnsi"/>
                <w:b/>
                <w:sz w:val="18"/>
                <w:szCs w:val="18"/>
              </w:rPr>
              <w:t>Secondary</w:t>
            </w:r>
          </w:p>
        </w:tc>
        <w:tc>
          <w:tcPr>
            <w:tcW w:w="4224" w:type="dxa"/>
          </w:tcPr>
          <w:p w14:paraId="26D9C500" w14:textId="77777777" w:rsidR="000F6888" w:rsidRPr="007A4608" w:rsidRDefault="000F6888" w:rsidP="002B3E25">
            <w:pPr>
              <w:jc w:val="both"/>
              <w:rPr>
                <w:rFonts w:cstheme="minorHAnsi"/>
                <w:color w:val="000000" w:themeColor="text1"/>
                <w:sz w:val="18"/>
                <w:szCs w:val="18"/>
              </w:rPr>
            </w:pPr>
            <w:r w:rsidRPr="007A4608">
              <w:rPr>
                <w:rFonts w:cstheme="minorHAnsi"/>
                <w:iCs/>
                <w:sz w:val="18"/>
                <w:szCs w:val="18"/>
              </w:rPr>
              <w:t>Further compare immune biomarker expression in paired colorectal cancer tissue specimens before and after treatment with CXD101 +/- Nivolumab</w:t>
            </w:r>
          </w:p>
          <w:p w14:paraId="0B675A22" w14:textId="77777777" w:rsidR="000F6888" w:rsidRPr="007A4608" w:rsidRDefault="000F6888" w:rsidP="002B3E25">
            <w:pPr>
              <w:jc w:val="both"/>
              <w:rPr>
                <w:rFonts w:cstheme="minorHAnsi"/>
                <w:iCs/>
                <w:sz w:val="18"/>
                <w:szCs w:val="18"/>
              </w:rPr>
            </w:pPr>
            <w:r w:rsidRPr="007A4608">
              <w:rPr>
                <w:rFonts w:cstheme="minorHAnsi"/>
                <w:color w:val="000000" w:themeColor="text1"/>
                <w:sz w:val="18"/>
                <w:szCs w:val="18"/>
              </w:rPr>
              <w:t xml:space="preserve">Assess for any correlations of immune biomarkers with anti-tumour activity </w:t>
            </w:r>
          </w:p>
        </w:tc>
        <w:tc>
          <w:tcPr>
            <w:tcW w:w="3572" w:type="dxa"/>
          </w:tcPr>
          <w:p w14:paraId="16F9889F" w14:textId="77777777" w:rsidR="000F6888" w:rsidRPr="007A4608" w:rsidRDefault="000F6888" w:rsidP="002B3E25">
            <w:pPr>
              <w:tabs>
                <w:tab w:val="left" w:pos="1561"/>
              </w:tabs>
              <w:jc w:val="both"/>
              <w:rPr>
                <w:rFonts w:cstheme="minorHAnsi"/>
                <w:iCs/>
                <w:sz w:val="18"/>
                <w:szCs w:val="18"/>
              </w:rPr>
            </w:pPr>
            <w:r w:rsidRPr="007A4608">
              <w:rPr>
                <w:rFonts w:cstheme="minorHAnsi"/>
                <w:iCs/>
                <w:sz w:val="18"/>
                <w:szCs w:val="18"/>
              </w:rPr>
              <w:t>Mean difference in pre and post treatment expression of MHC Class I &amp; II, PD-L1, TAP; CD3, CD8, CD4 &amp; T</w:t>
            </w:r>
            <w:r w:rsidRPr="007A4608">
              <w:rPr>
                <w:rFonts w:cstheme="minorHAnsi"/>
                <w:iCs/>
                <w:sz w:val="18"/>
                <w:szCs w:val="18"/>
                <w:vertAlign w:val="subscript"/>
              </w:rPr>
              <w:t>reg</w:t>
            </w:r>
            <w:r w:rsidRPr="007A4608">
              <w:rPr>
                <w:rFonts w:cstheme="minorHAnsi"/>
                <w:iCs/>
                <w:sz w:val="18"/>
                <w:szCs w:val="18"/>
              </w:rPr>
              <w:t xml:space="preserve"> cells, and IL-6 levels in tumour and normal colonic tissue by IHC and/or </w:t>
            </w:r>
            <w:proofErr w:type="spellStart"/>
            <w:r w:rsidRPr="007A4608">
              <w:rPr>
                <w:rFonts w:cstheme="minorHAnsi"/>
                <w:iCs/>
                <w:sz w:val="18"/>
                <w:szCs w:val="18"/>
              </w:rPr>
              <w:t>RNAseq</w:t>
            </w:r>
            <w:proofErr w:type="spellEnd"/>
          </w:p>
          <w:p w14:paraId="7DFAED10" w14:textId="77777777" w:rsidR="000F6888" w:rsidRPr="007A4608" w:rsidRDefault="000F6888" w:rsidP="002B3E25">
            <w:pPr>
              <w:tabs>
                <w:tab w:val="left" w:pos="1561"/>
              </w:tabs>
              <w:jc w:val="both"/>
              <w:rPr>
                <w:rFonts w:cstheme="minorHAnsi"/>
                <w:color w:val="C00000"/>
                <w:sz w:val="18"/>
                <w:szCs w:val="18"/>
              </w:rPr>
            </w:pPr>
            <w:r w:rsidRPr="007A4608">
              <w:rPr>
                <w:rFonts w:cstheme="minorHAnsi"/>
                <w:color w:val="000000" w:themeColor="text1"/>
                <w:sz w:val="18"/>
                <w:szCs w:val="18"/>
              </w:rPr>
              <w:t>Pathologic response of tumour (percentage viable tumour)</w:t>
            </w:r>
          </w:p>
        </w:tc>
      </w:tr>
      <w:tr w:rsidR="000F6888" w:rsidRPr="007A4608" w14:paraId="3D5BB0B8" w14:textId="77777777" w:rsidTr="002B3E25">
        <w:trPr>
          <w:trHeight w:val="837"/>
        </w:trPr>
        <w:tc>
          <w:tcPr>
            <w:tcW w:w="1271" w:type="dxa"/>
            <w:shd w:val="clear" w:color="auto" w:fill="D9D9D9" w:themeFill="background1" w:themeFillShade="D9"/>
            <w:vAlign w:val="center"/>
          </w:tcPr>
          <w:p w14:paraId="34036E04" w14:textId="77777777" w:rsidR="000F6888" w:rsidRPr="007A4608" w:rsidRDefault="000F6888" w:rsidP="002B3E25">
            <w:pPr>
              <w:jc w:val="center"/>
              <w:rPr>
                <w:rFonts w:cstheme="minorHAnsi"/>
                <w:b/>
                <w:sz w:val="18"/>
                <w:szCs w:val="18"/>
              </w:rPr>
            </w:pPr>
            <w:r w:rsidRPr="007A4608">
              <w:rPr>
                <w:rFonts w:cstheme="minorHAnsi"/>
                <w:b/>
                <w:sz w:val="18"/>
                <w:szCs w:val="18"/>
              </w:rPr>
              <w:t>Tertiary/</w:t>
            </w:r>
          </w:p>
          <w:p w14:paraId="02A059C9" w14:textId="77777777" w:rsidR="000F6888" w:rsidRPr="007A4608" w:rsidRDefault="000F6888" w:rsidP="002B3E25">
            <w:pPr>
              <w:jc w:val="center"/>
              <w:rPr>
                <w:rFonts w:cstheme="minorHAnsi"/>
                <w:b/>
                <w:sz w:val="18"/>
                <w:szCs w:val="18"/>
              </w:rPr>
            </w:pPr>
            <w:r w:rsidRPr="007A4608">
              <w:rPr>
                <w:rFonts w:cstheme="minorHAnsi"/>
                <w:b/>
                <w:sz w:val="18"/>
                <w:szCs w:val="18"/>
              </w:rPr>
              <w:t>Exploratory</w:t>
            </w:r>
          </w:p>
        </w:tc>
        <w:tc>
          <w:tcPr>
            <w:tcW w:w="4224" w:type="dxa"/>
          </w:tcPr>
          <w:p w14:paraId="5CA12EB0" w14:textId="77777777" w:rsidR="000F6888" w:rsidRPr="007A4608" w:rsidRDefault="000F6888" w:rsidP="002B3E25">
            <w:pPr>
              <w:jc w:val="both"/>
              <w:rPr>
                <w:rFonts w:cstheme="minorHAnsi"/>
                <w:bCs/>
                <w:iCs/>
                <w:sz w:val="18"/>
                <w:szCs w:val="18"/>
              </w:rPr>
            </w:pPr>
            <w:r w:rsidRPr="007A4608">
              <w:rPr>
                <w:rFonts w:cstheme="minorHAnsi"/>
                <w:bCs/>
                <w:iCs/>
                <w:sz w:val="18"/>
                <w:szCs w:val="18"/>
              </w:rPr>
              <w:t xml:space="preserve">Evaluate the effects of CXD101 +/- Nivolumab upon the composition, phenotype and diversity of tumour-specific immune cells in the tumour, normal colonic tissue and peripheral blood </w:t>
            </w:r>
          </w:p>
          <w:p w14:paraId="2E88F866" w14:textId="77777777" w:rsidR="000F6888" w:rsidRPr="007A4608" w:rsidRDefault="000F6888" w:rsidP="002B3E25">
            <w:pPr>
              <w:jc w:val="both"/>
              <w:rPr>
                <w:rFonts w:cstheme="minorHAnsi"/>
                <w:iCs/>
                <w:sz w:val="18"/>
                <w:szCs w:val="18"/>
              </w:rPr>
            </w:pPr>
          </w:p>
          <w:p w14:paraId="57AE1F18" w14:textId="77777777" w:rsidR="000F6888" w:rsidRPr="007A4608" w:rsidRDefault="000F6888" w:rsidP="002B3E25">
            <w:pPr>
              <w:jc w:val="both"/>
              <w:rPr>
                <w:rFonts w:cstheme="minorHAnsi"/>
                <w:sz w:val="18"/>
                <w:szCs w:val="18"/>
              </w:rPr>
            </w:pPr>
            <w:r w:rsidRPr="007A4608">
              <w:rPr>
                <w:rFonts w:cstheme="minorHAnsi"/>
                <w:sz w:val="18"/>
                <w:szCs w:val="18"/>
              </w:rPr>
              <w:t xml:space="preserve">Determine effects of treatment upon neoantigen and tumour associated antigen (TAA) expression in tumour tissue </w:t>
            </w:r>
          </w:p>
        </w:tc>
        <w:tc>
          <w:tcPr>
            <w:tcW w:w="3572" w:type="dxa"/>
          </w:tcPr>
          <w:p w14:paraId="4DEBC4D8" w14:textId="77777777" w:rsidR="000F6888" w:rsidRPr="007A4608" w:rsidRDefault="000F6888" w:rsidP="002B3E25">
            <w:pPr>
              <w:jc w:val="both"/>
              <w:rPr>
                <w:rFonts w:cstheme="minorHAnsi"/>
                <w:iCs/>
                <w:sz w:val="18"/>
                <w:szCs w:val="18"/>
              </w:rPr>
            </w:pPr>
            <w:r w:rsidRPr="007A4608">
              <w:rPr>
                <w:rFonts w:cstheme="minorHAnsi"/>
                <w:iCs/>
                <w:sz w:val="18"/>
                <w:szCs w:val="18"/>
              </w:rPr>
              <w:t>Frequency and phenotype of immune cell populations (T cell subsets, B cells, NK and myeloid cells) before and after treatment measured by FACS/</w:t>
            </w:r>
            <w:proofErr w:type="spellStart"/>
            <w:r w:rsidRPr="007A4608">
              <w:rPr>
                <w:rFonts w:cstheme="minorHAnsi"/>
                <w:iCs/>
                <w:sz w:val="18"/>
                <w:szCs w:val="18"/>
              </w:rPr>
              <w:t>CyTOF</w:t>
            </w:r>
            <w:proofErr w:type="spellEnd"/>
            <w:r w:rsidRPr="007A4608">
              <w:rPr>
                <w:rFonts w:cstheme="minorHAnsi"/>
                <w:iCs/>
                <w:sz w:val="18"/>
                <w:szCs w:val="18"/>
              </w:rPr>
              <w:t xml:space="preserve"> in blood and multispectral co-immunofluorescence or imaging mass cytometry in tissue</w:t>
            </w:r>
          </w:p>
          <w:p w14:paraId="68EB663D" w14:textId="77777777" w:rsidR="000F6888" w:rsidRPr="007A4608" w:rsidRDefault="000F6888" w:rsidP="002B3E25">
            <w:pPr>
              <w:jc w:val="both"/>
              <w:rPr>
                <w:rFonts w:cstheme="minorHAnsi"/>
                <w:iCs/>
                <w:sz w:val="18"/>
                <w:szCs w:val="18"/>
              </w:rPr>
            </w:pPr>
          </w:p>
          <w:p w14:paraId="29BE0ED9" w14:textId="77777777" w:rsidR="000F6888" w:rsidRPr="007A4608" w:rsidRDefault="000F6888" w:rsidP="002B3E25">
            <w:pPr>
              <w:jc w:val="both"/>
              <w:rPr>
                <w:rFonts w:cstheme="minorHAnsi"/>
                <w:sz w:val="18"/>
                <w:szCs w:val="18"/>
              </w:rPr>
            </w:pPr>
            <w:r w:rsidRPr="007A4608">
              <w:rPr>
                <w:rFonts w:cstheme="minorHAnsi"/>
                <w:sz w:val="18"/>
                <w:szCs w:val="18"/>
              </w:rPr>
              <w:t>Tetramer staining and single cell sorting of antigen-specific T cells from tumour and blood for single-cell cloning and/or TCR/</w:t>
            </w:r>
            <w:proofErr w:type="spellStart"/>
            <w:r w:rsidRPr="007A4608">
              <w:rPr>
                <w:rFonts w:cstheme="minorHAnsi"/>
                <w:sz w:val="18"/>
                <w:szCs w:val="18"/>
              </w:rPr>
              <w:t>RNAseq</w:t>
            </w:r>
            <w:proofErr w:type="spellEnd"/>
          </w:p>
          <w:p w14:paraId="7B4C68C1" w14:textId="77777777" w:rsidR="000F6888" w:rsidRPr="007A4608" w:rsidRDefault="000F6888" w:rsidP="002B3E25">
            <w:pPr>
              <w:jc w:val="both"/>
              <w:rPr>
                <w:rFonts w:cstheme="minorHAnsi"/>
                <w:iCs/>
                <w:sz w:val="18"/>
                <w:szCs w:val="18"/>
              </w:rPr>
            </w:pPr>
            <w:r w:rsidRPr="007A4608">
              <w:rPr>
                <w:rFonts w:cstheme="minorHAnsi"/>
                <w:sz w:val="18"/>
                <w:szCs w:val="18"/>
              </w:rPr>
              <w:t xml:space="preserve">Tumour predicted neoantigen burden and clonality by whole exome sequencing and neoantigen and TAA expression before and after treatment by </w:t>
            </w:r>
            <w:proofErr w:type="spellStart"/>
            <w:r w:rsidRPr="007A4608">
              <w:rPr>
                <w:rFonts w:cstheme="minorHAnsi"/>
                <w:sz w:val="18"/>
                <w:szCs w:val="18"/>
              </w:rPr>
              <w:t>RNAseq</w:t>
            </w:r>
            <w:proofErr w:type="spellEnd"/>
          </w:p>
        </w:tc>
      </w:tr>
    </w:tbl>
    <w:p w14:paraId="01975F62" w14:textId="77777777" w:rsidR="000F6888" w:rsidRPr="007A4608" w:rsidRDefault="000F6888" w:rsidP="000F6888">
      <w:pPr>
        <w:jc w:val="both"/>
        <w:rPr>
          <w:rFonts w:cstheme="minorHAnsi"/>
          <w:b/>
          <w:bCs/>
          <w:sz w:val="18"/>
          <w:szCs w:val="18"/>
        </w:rPr>
      </w:pPr>
    </w:p>
    <w:p w14:paraId="2732F298" w14:textId="77777777" w:rsidR="000F6888" w:rsidRPr="007A4608" w:rsidRDefault="000F6888" w:rsidP="000F6888">
      <w:pPr>
        <w:jc w:val="both"/>
        <w:rPr>
          <w:rFonts w:cstheme="minorHAnsi"/>
          <w:b/>
          <w:bCs/>
          <w:sz w:val="18"/>
          <w:szCs w:val="18"/>
        </w:rPr>
      </w:pPr>
      <w:r w:rsidRPr="007A4608">
        <w:rPr>
          <w:rFonts w:cstheme="minorHAnsi"/>
          <w:b/>
          <w:bCs/>
          <w:sz w:val="18"/>
          <w:szCs w:val="18"/>
        </w:rPr>
        <w:t>Proposed Trial Logistics</w:t>
      </w:r>
    </w:p>
    <w:p w14:paraId="68916957" w14:textId="77777777" w:rsidR="000F6888" w:rsidRPr="007A4608" w:rsidRDefault="000F6888" w:rsidP="000F6888">
      <w:pPr>
        <w:jc w:val="both"/>
        <w:rPr>
          <w:rFonts w:cstheme="minorHAnsi"/>
          <w:sz w:val="18"/>
          <w:szCs w:val="18"/>
        </w:rPr>
      </w:pPr>
      <w:r w:rsidRPr="007A4608">
        <w:rPr>
          <w:rFonts w:cstheme="minorHAnsi"/>
          <w:sz w:val="18"/>
          <w:szCs w:val="18"/>
        </w:rPr>
        <w:t>A Window trial to be run in Oxford and Sichuan recruiting patients with early CRC.</w:t>
      </w:r>
    </w:p>
    <w:p w14:paraId="2D8315D2" w14:textId="77777777" w:rsidR="000F6888" w:rsidRPr="007A4608" w:rsidRDefault="000F6888" w:rsidP="000F6888">
      <w:pPr>
        <w:jc w:val="both"/>
        <w:rPr>
          <w:rFonts w:cstheme="minorHAnsi"/>
          <w:sz w:val="18"/>
          <w:szCs w:val="18"/>
        </w:rPr>
      </w:pPr>
      <w:r w:rsidRPr="007A4608">
        <w:rPr>
          <w:rFonts w:cstheme="minorHAnsi"/>
          <w:sz w:val="18"/>
          <w:szCs w:val="18"/>
        </w:rPr>
        <w:t>Part funding from the Oxford-Sichuan Collaboration and further funding to be applied for from the UK MRC.</w:t>
      </w:r>
    </w:p>
    <w:p w14:paraId="2B9E52D8" w14:textId="77777777" w:rsidR="00770397" w:rsidRDefault="00770397"/>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4CF6"/>
    <w:multiLevelType w:val="hybridMultilevel"/>
    <w:tmpl w:val="D96A36E8"/>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1E6C0D"/>
    <w:multiLevelType w:val="hybridMultilevel"/>
    <w:tmpl w:val="10CA9930"/>
    <w:lvl w:ilvl="0" w:tplc="04090001">
      <w:start w:val="1"/>
      <w:numFmt w:val="bullet"/>
      <w:lvlText w:val=""/>
      <w:lvlJc w:val="left"/>
      <w:pPr>
        <w:ind w:left="360" w:hanging="360"/>
      </w:pPr>
      <w:rPr>
        <w:rFonts w:ascii="Symbol" w:hAnsi="Symbol"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9025F1F"/>
    <w:multiLevelType w:val="hybridMultilevel"/>
    <w:tmpl w:val="EA30EB8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C980D01"/>
    <w:multiLevelType w:val="hybridMultilevel"/>
    <w:tmpl w:val="29BECD02"/>
    <w:lvl w:ilvl="0" w:tplc="6DC22D0A">
      <w:start w:val="1"/>
      <w:numFmt w:val="bullet"/>
      <w:pStyle w:val="C-Bullet"/>
      <w:lvlText w:val=""/>
      <w:lvlJc w:val="left"/>
      <w:pPr>
        <w:tabs>
          <w:tab w:val="num" w:pos="360"/>
        </w:tabs>
        <w:ind w:left="360" w:hanging="360"/>
      </w:pPr>
      <w:rPr>
        <w:rFonts w:ascii="Symbol" w:hAnsi="Symbol"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567D79"/>
    <w:multiLevelType w:val="hybridMultilevel"/>
    <w:tmpl w:val="A962AD14"/>
    <w:lvl w:ilvl="0" w:tplc="FA2ADAE8">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0F6888"/>
    <w:rsid w:val="001E4558"/>
    <w:rsid w:val="003A5E76"/>
    <w:rsid w:val="004518E8"/>
    <w:rsid w:val="005A4B1F"/>
    <w:rsid w:val="00700F4C"/>
    <w:rsid w:val="00770397"/>
    <w:rsid w:val="007B038C"/>
    <w:rsid w:val="009261A3"/>
    <w:rsid w:val="009E5A5E"/>
    <w:rsid w:val="00AA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rsid w:val="000F6888"/>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0F68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88"/>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0F6888"/>
    <w:rPr>
      <w:rFonts w:asciiTheme="majorHAnsi" w:eastAsiaTheme="majorEastAsia" w:hAnsiTheme="majorHAnsi" w:cstheme="majorBidi"/>
      <w:color w:val="2F5496" w:themeColor="accent1" w:themeShade="BF"/>
      <w:sz w:val="26"/>
      <w:szCs w:val="26"/>
    </w:rPr>
  </w:style>
  <w:style w:type="paragraph" w:customStyle="1" w:styleId="C-Bullet">
    <w:name w:val="C-Bullet"/>
    <w:rsid w:val="000F6888"/>
    <w:pPr>
      <w:numPr>
        <w:numId w:val="2"/>
      </w:numPr>
      <w:spacing w:before="120" w:after="120" w:line="280" w:lineRule="atLeast"/>
    </w:pPr>
    <w:rPr>
      <w:szCs w:val="22"/>
      <w:lang w:val="en-US"/>
    </w:rPr>
  </w:style>
  <w:style w:type="character" w:customStyle="1" w:styleId="C-BulletCharCharCharCharCharCharCharCharCharCharCharCharCharCharCharCharCharCharCharCharCharCharCharCharCharCharCharCharCharChar">
    <w:name w:val="C-Bullet Char Char Char Char Char Char Char Char Char Char Char Char Char Char Char Char Char Char Char Char Char Char Char Char Char Char Char Char Char Char"/>
    <w:link w:val="C-BulletCharCharCharCharCharCharCharCharCharCharCharCharCharCharCharCharCharCharCharCharCharCharCharCharCharCharCharCharChar"/>
    <w:locked/>
    <w:rsid w:val="000F6888"/>
    <w:rPr>
      <w:lang w:val="en-US"/>
    </w:rPr>
  </w:style>
  <w:style w:type="paragraph" w:customStyle="1" w:styleId="C-BulletCharCharCharCharCharCharCharCharCharCharCharCharCharCharCharCharCharCharCharCharCharCharCharCharCharCharCharCharChar">
    <w:name w:val="C-Bullet Char Char Char Char Char Char Char Char Char Char Char Char Char Char Char Char Char Char Char Char Char Char Char Char Char Char Char Char Char"/>
    <w:link w:val="C-BulletCharCharCharCharCharCharCharCharCharCharCharCharCharCharCharCharCharCharCharCharCharCharCharCharCharCharCharCharCharChar"/>
    <w:rsid w:val="000F6888"/>
    <w:pPr>
      <w:tabs>
        <w:tab w:val="num" w:pos="1080"/>
      </w:tabs>
      <w:spacing w:before="120" w:after="120" w:line="280" w:lineRule="atLeast"/>
      <w:ind w:left="1080" w:hanging="3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2</cp:revision>
  <dcterms:created xsi:type="dcterms:W3CDTF">2020-11-11T14:14:00Z</dcterms:created>
  <dcterms:modified xsi:type="dcterms:W3CDTF">2020-11-11T14:14:00Z</dcterms:modified>
</cp:coreProperties>
</file>