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B1403" w14:textId="2085DD90" w:rsidR="009E5A5E" w:rsidRPr="001409E4" w:rsidRDefault="009E5A5E" w:rsidP="009E5A5E">
      <w:pPr>
        <w:pStyle w:val="Heading1"/>
        <w:numPr>
          <w:ilvl w:val="0"/>
          <w:numId w:val="2"/>
        </w:numPr>
      </w:pPr>
      <w:bookmarkStart w:id="0" w:name="_Toc55992267"/>
      <w:r>
        <w:t>Metabolic and inflammatory cross-feeding regulates m</w:t>
      </w:r>
      <w:r w:rsidRPr="001409E4">
        <w:t>ultiple cellular component</w:t>
      </w:r>
      <w:r>
        <w:t xml:space="preserve"> interactions in </w:t>
      </w:r>
      <w:r w:rsidRPr="001409E4">
        <w:t xml:space="preserve">the </w:t>
      </w:r>
      <w:r>
        <w:t xml:space="preserve">colorectal </w:t>
      </w:r>
      <w:r w:rsidRPr="001409E4">
        <w:t>tumour microenvironment</w:t>
      </w:r>
      <w:r>
        <w:t>: Implications of cancer biomarker identification and therapy development</w:t>
      </w:r>
      <w:r w:rsidRPr="001409E4">
        <w:t xml:space="preserve"> </w:t>
      </w:r>
      <w:r>
        <w:t xml:space="preserve">– </w:t>
      </w:r>
      <w:proofErr w:type="spellStart"/>
      <w:r>
        <w:t>Dr.</w:t>
      </w:r>
      <w:proofErr w:type="spellEnd"/>
      <w:r>
        <w:t xml:space="preserve"> </w:t>
      </w:r>
      <w:proofErr w:type="spellStart"/>
      <w:r>
        <w:t>Shijie</w:t>
      </w:r>
      <w:proofErr w:type="spellEnd"/>
      <w:r>
        <w:t xml:space="preserve"> Cai &amp; Prof. David Kerr</w:t>
      </w:r>
      <w:bookmarkEnd w:id="0"/>
    </w:p>
    <w:p w14:paraId="5DDBA143" w14:textId="77777777" w:rsidR="009E5A5E" w:rsidRDefault="009E5A5E" w:rsidP="009E5A5E">
      <w:pPr>
        <w:pStyle w:val="Heading2"/>
      </w:pPr>
    </w:p>
    <w:p w14:paraId="4DC66FF0" w14:textId="77777777" w:rsidR="009E5A5E" w:rsidRDefault="009E5A5E" w:rsidP="009E5A5E">
      <w:pPr>
        <w:pStyle w:val="Heading2"/>
      </w:pPr>
      <w:r>
        <w:t>Research Interests</w:t>
      </w:r>
    </w:p>
    <w:p w14:paraId="50C139E8" w14:textId="77777777" w:rsidR="009E5A5E" w:rsidRPr="009E7EE3" w:rsidRDefault="009E5A5E" w:rsidP="009E5A5E"/>
    <w:p w14:paraId="1FD74C74" w14:textId="77777777" w:rsidR="009E5A5E" w:rsidRDefault="009E5A5E" w:rsidP="009E5A5E">
      <w:pPr>
        <w:ind w:firstLine="720"/>
        <w:jc w:val="both"/>
      </w:pPr>
      <w:r w:rsidRPr="009E7EE3">
        <w:t xml:space="preserve">Our group is currently investigating the altered metabolites and inflammatory factors that are required by CRC for the development. We focus on </w:t>
      </w:r>
      <w:proofErr w:type="spellStart"/>
      <w:r w:rsidRPr="009E7EE3">
        <w:t>oncometabolism</w:t>
      </w:r>
      <w:proofErr w:type="spellEnd"/>
      <w:r w:rsidRPr="009E7EE3">
        <w:t xml:space="preserve"> and conduct the research at the cellular, molecular, biochemical, and genetic level to unravel the metabolic and inflammatory interplay between the stromal cells, including fibroblasts, inflammatory cells, endothelial cells, and CRC when tumour growth and angiogenesis.</w:t>
      </w:r>
    </w:p>
    <w:p w14:paraId="219CC972" w14:textId="77777777" w:rsidR="009E5A5E" w:rsidRDefault="009E5A5E" w:rsidP="009E5A5E"/>
    <w:p w14:paraId="16E8E2F3" w14:textId="77777777" w:rsidR="009E5A5E" w:rsidRDefault="009E5A5E" w:rsidP="009E5A5E"/>
    <w:p w14:paraId="7F573128" w14:textId="77777777" w:rsidR="009E5A5E" w:rsidRDefault="009E5A5E" w:rsidP="009E5A5E">
      <w:pPr>
        <w:pStyle w:val="Heading2"/>
      </w:pPr>
      <w:r>
        <w:t>Project</w:t>
      </w:r>
    </w:p>
    <w:p w14:paraId="4F05C42A" w14:textId="77777777" w:rsidR="009E5A5E" w:rsidRDefault="009E5A5E" w:rsidP="009E5A5E">
      <w:pPr>
        <w:jc w:val="both"/>
      </w:pPr>
    </w:p>
    <w:p w14:paraId="2B436A2F" w14:textId="77777777" w:rsidR="009E5A5E" w:rsidRPr="001409E4" w:rsidRDefault="009E5A5E" w:rsidP="009E5A5E">
      <w:pPr>
        <w:ind w:firstLine="720"/>
        <w:jc w:val="both"/>
      </w:pPr>
      <w:r w:rsidRPr="001409E4">
        <w:t>The development of tumour cells grows in an uncontrolled manner</w:t>
      </w:r>
      <w:r>
        <w:t>, but requires an active support with</w:t>
      </w:r>
      <w:r w:rsidRPr="001409E4">
        <w:t xml:space="preserve"> the surrounding microenvironment. The tumour microenvironment is highly heterogeneous and composed of stromal fibroblasts, inflammatory cells and endothelial cells. </w:t>
      </w:r>
      <w:r>
        <w:t xml:space="preserve">With the stromal interactions, </w:t>
      </w:r>
      <w:r w:rsidRPr="001409E4">
        <w:t xml:space="preserve">tumours </w:t>
      </w:r>
      <w:r>
        <w:t xml:space="preserve">may </w:t>
      </w:r>
      <w:r w:rsidRPr="001409E4">
        <w:t xml:space="preserve">act cooperatively and </w:t>
      </w:r>
      <w:r>
        <w:t xml:space="preserve">greatly influence </w:t>
      </w:r>
      <w:r w:rsidRPr="001409E4">
        <w:t xml:space="preserve">tumour initiation, maintenance, metastasis and therapy resistance. </w:t>
      </w:r>
    </w:p>
    <w:p w14:paraId="544D4844" w14:textId="77777777" w:rsidR="009E5A5E" w:rsidRPr="001409E4" w:rsidRDefault="009E5A5E" w:rsidP="009E5A5E">
      <w:pPr>
        <w:jc w:val="both"/>
      </w:pPr>
    </w:p>
    <w:p w14:paraId="33DA4593" w14:textId="77777777" w:rsidR="009E5A5E" w:rsidRPr="0006349E" w:rsidRDefault="009E5A5E" w:rsidP="009E5A5E">
      <w:pPr>
        <w:ind w:firstLine="720"/>
        <w:jc w:val="both"/>
        <w:rPr>
          <w:color w:val="000000" w:themeColor="text1"/>
        </w:rPr>
      </w:pPr>
      <w:r w:rsidRPr="0006349E">
        <w:rPr>
          <w:rFonts w:eastAsia="Times New Roman"/>
          <w:color w:val="000000" w:themeColor="text1"/>
          <w:shd w:val="clear" w:color="auto" w:fill="FFFFFF"/>
          <w:lang w:eastAsia="zh-CN"/>
        </w:rPr>
        <w:t xml:space="preserve">We have conducted a series of international adjuvant trials of chemotherapy for colorectal cancer (CRC) and established a biorepository of tissue and constitutional DNA (n=3500). </w:t>
      </w:r>
      <w:r>
        <w:rPr>
          <w:color w:val="000000" w:themeColor="text1"/>
        </w:rPr>
        <w:t xml:space="preserve">Clearly, </w:t>
      </w:r>
      <w:r w:rsidRPr="0006349E">
        <w:rPr>
          <w:color w:val="000000" w:themeColor="text1"/>
        </w:rPr>
        <w:t xml:space="preserve">high proportion of stroma to tumour </w:t>
      </w:r>
      <w:r w:rsidRPr="0006349E">
        <w:rPr>
          <w:noProof/>
          <w:color w:val="000000" w:themeColor="text1"/>
        </w:rPr>
        <w:t xml:space="preserve">and </w:t>
      </w:r>
      <w:r w:rsidRPr="0006349E">
        <w:rPr>
          <w:color w:val="000000" w:themeColor="text1"/>
        </w:rPr>
        <w:t>high expression of the stromal cell gene signatures in CRCs</w:t>
      </w:r>
      <w:r>
        <w:rPr>
          <w:color w:val="000000" w:themeColor="text1"/>
        </w:rPr>
        <w:t xml:space="preserve"> i</w:t>
      </w:r>
      <w:r w:rsidRPr="0006349E">
        <w:rPr>
          <w:color w:val="000000" w:themeColor="text1"/>
        </w:rPr>
        <w:t xml:space="preserve">s clinically significant, </w:t>
      </w:r>
      <w:r>
        <w:rPr>
          <w:color w:val="000000" w:themeColor="text1"/>
        </w:rPr>
        <w:t>strikingly</w:t>
      </w:r>
      <w:r w:rsidRPr="0006349E">
        <w:rPr>
          <w:color w:val="000000" w:themeColor="text1"/>
        </w:rPr>
        <w:t xml:space="preserve"> correlating with late stages of the disease and worse prognosis. </w:t>
      </w:r>
    </w:p>
    <w:p w14:paraId="57ABEF51" w14:textId="77777777" w:rsidR="009E5A5E" w:rsidRPr="001409E4" w:rsidRDefault="009E5A5E" w:rsidP="009E5A5E">
      <w:pPr>
        <w:jc w:val="both"/>
      </w:pPr>
    </w:p>
    <w:p w14:paraId="7A08EB3C" w14:textId="77777777" w:rsidR="009E5A5E" w:rsidRPr="001409E4" w:rsidRDefault="009E5A5E" w:rsidP="009E5A5E">
      <w:pPr>
        <w:ind w:firstLine="720"/>
        <w:jc w:val="both"/>
      </w:pPr>
      <w:r w:rsidRPr="001409E4">
        <w:t>However, how the stroma</w:t>
      </w:r>
      <w:r>
        <w:t xml:space="preserve">l cells </w:t>
      </w:r>
      <w:r w:rsidRPr="001409E4">
        <w:t xml:space="preserve">and CRC interactions </w:t>
      </w:r>
      <w:r>
        <w:t xml:space="preserve">that </w:t>
      </w:r>
      <w:r w:rsidRPr="001409E4">
        <w:t xml:space="preserve">drive tumour growth and confer </w:t>
      </w:r>
      <w:r>
        <w:t xml:space="preserve">a phenotype of more invasive tumour </w:t>
      </w:r>
      <w:r w:rsidRPr="001409E4">
        <w:t xml:space="preserve">and resistance to chemotherapy and immunotherapy is still not fully understood.  </w:t>
      </w:r>
    </w:p>
    <w:p w14:paraId="433563D1" w14:textId="77777777" w:rsidR="009E5A5E" w:rsidRDefault="009E5A5E" w:rsidP="009E5A5E">
      <w:pPr>
        <w:jc w:val="both"/>
        <w:rPr>
          <w:szCs w:val="28"/>
        </w:rPr>
      </w:pPr>
    </w:p>
    <w:p w14:paraId="72432F0D" w14:textId="77777777" w:rsidR="009E5A5E" w:rsidRPr="009E7EE3" w:rsidRDefault="009E5A5E" w:rsidP="009E5A5E">
      <w:pPr>
        <w:ind w:firstLine="720"/>
        <w:jc w:val="both"/>
        <w:rPr>
          <w:szCs w:val="28"/>
        </w:rPr>
      </w:pPr>
      <w:r w:rsidRPr="009E7EE3">
        <w:rPr>
          <w:szCs w:val="28"/>
        </w:rPr>
        <w:t xml:space="preserve">Our work has also been encompassing immunometabolism in the tumour microenvironment to unravel the altered immune checkpoints, in particular PD1/PDL-1 immune evasion. We are dissecting the context of the multiple cellular components to investigate their interactive roles play in the immune suppressive microenvironment and T lymphocyte cytotoxicity to CRC. </w:t>
      </w:r>
    </w:p>
    <w:p w14:paraId="1670F5AB" w14:textId="77777777" w:rsidR="009E5A5E" w:rsidRDefault="009E5A5E" w:rsidP="009E5A5E">
      <w:pPr>
        <w:jc w:val="both"/>
        <w:rPr>
          <w:szCs w:val="28"/>
        </w:rPr>
      </w:pPr>
    </w:p>
    <w:p w14:paraId="068D62FD" w14:textId="77777777" w:rsidR="009E5A5E" w:rsidRDefault="009E5A5E" w:rsidP="009E5A5E">
      <w:pPr>
        <w:ind w:firstLine="720"/>
        <w:jc w:val="both"/>
        <w:rPr>
          <w:szCs w:val="28"/>
        </w:rPr>
      </w:pPr>
      <w:r w:rsidRPr="009E7EE3">
        <w:rPr>
          <w:szCs w:val="28"/>
        </w:rPr>
        <w:t xml:space="preserve">Our study of the tumour microenvironment will reveal the complex </w:t>
      </w:r>
      <w:proofErr w:type="spellStart"/>
      <w:r w:rsidRPr="009E7EE3">
        <w:rPr>
          <w:szCs w:val="28"/>
        </w:rPr>
        <w:t>intratumoral</w:t>
      </w:r>
      <w:proofErr w:type="spellEnd"/>
      <w:r w:rsidRPr="009E7EE3">
        <w:rPr>
          <w:szCs w:val="28"/>
        </w:rPr>
        <w:t xml:space="preserve"> cellular anatomical, metabolic and immunological profiling. Validation of them in a series of clinical sets will ultimately lead to identification of biomarkers and/or predictor of conventional or immune-therapeutic efficacy as well as development of a new class of novel small molecule inhibitors. </w:t>
      </w:r>
    </w:p>
    <w:p w14:paraId="791B2A6C" w14:textId="77777777" w:rsidR="009E5A5E" w:rsidRPr="009E7EE3" w:rsidRDefault="009E5A5E" w:rsidP="009E5A5E">
      <w:pPr>
        <w:ind w:firstLine="720"/>
        <w:jc w:val="both"/>
        <w:rPr>
          <w:szCs w:val="28"/>
        </w:rPr>
      </w:pPr>
    </w:p>
    <w:p w14:paraId="22375903" w14:textId="77777777" w:rsidR="009E5A5E" w:rsidRPr="009E7EE3" w:rsidRDefault="009E5A5E" w:rsidP="009E5A5E">
      <w:pPr>
        <w:ind w:firstLine="360"/>
        <w:jc w:val="both"/>
        <w:rPr>
          <w:szCs w:val="28"/>
        </w:rPr>
      </w:pPr>
      <w:r w:rsidRPr="009E7EE3">
        <w:rPr>
          <w:szCs w:val="28"/>
        </w:rPr>
        <w:lastRenderedPageBreak/>
        <w:t>We have established the multiple cellular coculture in vitro and co</w:t>
      </w:r>
      <w:r>
        <w:rPr>
          <w:szCs w:val="28"/>
        </w:rPr>
        <w:t>-</w:t>
      </w:r>
      <w:r w:rsidRPr="009E7EE3">
        <w:rPr>
          <w:szCs w:val="28"/>
        </w:rPr>
        <w:t>implantation in vivo, and collaborated with several collaborators with expertise on metabolomics assay, proteomics analysis, immunology, chemical biology, and bioinformatics. Our collaboration has fostered the development of the research projects in order ultimately to curtail progression or to facilitate therapeutic efficacy.</w:t>
      </w:r>
    </w:p>
    <w:p w14:paraId="405E9198" w14:textId="77777777" w:rsidR="009E5A5E" w:rsidRDefault="009E5A5E" w:rsidP="009E5A5E">
      <w:r>
        <w:br w:type="page"/>
      </w:r>
    </w:p>
    <w:p w14:paraId="2B9E52D8" w14:textId="77777777" w:rsidR="00770397" w:rsidRDefault="00770397"/>
    <w:sectPr w:rsidR="00770397" w:rsidSect="007B038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44CF6"/>
    <w:multiLevelType w:val="hybridMultilevel"/>
    <w:tmpl w:val="D96A36E8"/>
    <w:lvl w:ilvl="0" w:tplc="9076633A">
      <w:start w:val="1"/>
      <w:numFmt w:val="decimal"/>
      <w:pStyle w:val="Heading1"/>
      <w:lvlText w:val="%1."/>
      <w:lvlJc w:val="left"/>
      <w:pPr>
        <w:ind w:left="720" w:hanging="360"/>
      </w:pPr>
      <w:rPr>
        <w:rFonts w:asciiTheme="minorHAnsi" w:hAnsi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91519B"/>
    <w:multiLevelType w:val="hybridMultilevel"/>
    <w:tmpl w:val="520CF980"/>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76"/>
    <w:rsid w:val="003A5E76"/>
    <w:rsid w:val="005A4B1F"/>
    <w:rsid w:val="00700F4C"/>
    <w:rsid w:val="00770397"/>
    <w:rsid w:val="007B038C"/>
    <w:rsid w:val="009E5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306A97"/>
  <w15:chartTrackingRefBased/>
  <w15:docId w15:val="{6C81DB92-4171-EA44-A7D3-F68825A8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link w:val="Heading1Char"/>
    <w:uiPriority w:val="9"/>
    <w:qFormat/>
    <w:rsid w:val="009E5A5E"/>
    <w:pPr>
      <w:numPr>
        <w:numId w:val="1"/>
      </w:numPr>
      <w:spacing w:before="100" w:beforeAutospacing="1" w:after="100" w:afterAutospacing="1"/>
      <w:jc w:val="both"/>
      <w:outlineLvl w:val="0"/>
    </w:pPr>
    <w:rPr>
      <w:rFonts w:eastAsia="Times New Roman" w:cs="Times New Roman"/>
      <w:b/>
      <w:bCs/>
      <w:kern w:val="36"/>
      <w:sz w:val="32"/>
      <w:szCs w:val="48"/>
      <w:lang w:eastAsia="en-GB"/>
    </w:rPr>
  </w:style>
  <w:style w:type="paragraph" w:styleId="Heading2">
    <w:name w:val="heading 2"/>
    <w:basedOn w:val="Normal"/>
    <w:next w:val="Normal"/>
    <w:link w:val="Heading2Char"/>
    <w:uiPriority w:val="9"/>
    <w:unhideWhenUsed/>
    <w:qFormat/>
    <w:rsid w:val="009E5A5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A5E"/>
    <w:rPr>
      <w:rFonts w:asciiTheme="majorHAnsi" w:eastAsia="Times New Roman" w:hAnsiTheme="majorHAnsi" w:cs="Times New Roman"/>
      <w:b/>
      <w:bCs/>
      <w:color w:val="2F5496" w:themeColor="accent1" w:themeShade="BF"/>
      <w:kern w:val="36"/>
      <w:sz w:val="32"/>
      <w:szCs w:val="48"/>
      <w:lang w:eastAsia="en-GB"/>
    </w:rPr>
  </w:style>
  <w:style w:type="character" w:customStyle="1" w:styleId="Heading2Char">
    <w:name w:val="Heading 2 Char"/>
    <w:basedOn w:val="DefaultParagraphFont"/>
    <w:link w:val="Heading2"/>
    <w:uiPriority w:val="9"/>
    <w:rsid w:val="009E5A5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Harvey</dc:creator>
  <cp:keywords/>
  <dc:description/>
  <cp:lastModifiedBy>Megan Harvey</cp:lastModifiedBy>
  <cp:revision>2</cp:revision>
  <dcterms:created xsi:type="dcterms:W3CDTF">2020-11-11T14:09:00Z</dcterms:created>
  <dcterms:modified xsi:type="dcterms:W3CDTF">2020-11-11T14:09:00Z</dcterms:modified>
</cp:coreProperties>
</file>